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D20B03" w14:textId="77777777" w:rsidR="00565851" w:rsidRPr="006807E6" w:rsidRDefault="00565851" w:rsidP="00C374FD">
      <w:pPr>
        <w:ind w:right="289"/>
        <w:rPr>
          <w:rFonts w:ascii="Century Gothic" w:hAnsi="Century Gothic"/>
          <w:bCs/>
          <w:color w:val="FF0000"/>
          <w:sz w:val="24"/>
          <w:szCs w:val="24"/>
        </w:rPr>
      </w:pPr>
    </w:p>
    <w:p w14:paraId="0CFD5B71" w14:textId="77777777" w:rsidR="00EF6657" w:rsidRPr="006E11A8" w:rsidRDefault="00EF6657" w:rsidP="00C374FD">
      <w:pPr>
        <w:ind w:left="4820" w:right="289"/>
        <w:jc w:val="both"/>
        <w:rPr>
          <w:rFonts w:asciiTheme="minorHAnsi" w:hAnsiTheme="minorHAnsi" w:cstheme="minorHAnsi"/>
          <w:bCs/>
          <w:smallCaps/>
          <w:color w:val="FF0000"/>
          <w:sz w:val="24"/>
          <w:szCs w:val="24"/>
        </w:rPr>
      </w:pPr>
    </w:p>
    <w:p w14:paraId="457A3363" w14:textId="2B119EEA" w:rsidR="006E411C" w:rsidRPr="006E11A8" w:rsidRDefault="00021A6D" w:rsidP="00C374FD">
      <w:pPr>
        <w:spacing w:line="360" w:lineRule="auto"/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11A8">
        <w:rPr>
          <w:rFonts w:asciiTheme="minorHAnsi" w:hAnsiTheme="minorHAnsi" w:cstheme="minorHAnsi"/>
          <w:b/>
          <w:sz w:val="24"/>
          <w:szCs w:val="24"/>
          <w:u w:val="single"/>
        </w:rPr>
        <w:t>À EDENRED SOLUÇÕES DE PAGAMENTOS HYLA S.A</w:t>
      </w:r>
    </w:p>
    <w:p w14:paraId="5E0A350C" w14:textId="77777777" w:rsidR="00021A6D" w:rsidRPr="006E11A8" w:rsidRDefault="00021A6D" w:rsidP="00C374FD">
      <w:pPr>
        <w:spacing w:line="360" w:lineRule="auto"/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3AE75F5" w14:textId="5BB6EF4C" w:rsidR="003A4EF9" w:rsidRPr="003A4EF9" w:rsidRDefault="003A4EF9" w:rsidP="003A4EF9">
      <w:pPr>
        <w:pStyle w:val="PargrafodaLista"/>
        <w:numPr>
          <w:ilvl w:val="0"/>
          <w:numId w:val="21"/>
        </w:numPr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4EF9">
        <w:rPr>
          <w:rFonts w:asciiTheme="minorHAnsi" w:hAnsiTheme="minorHAnsi" w:cstheme="minorHAnsi"/>
          <w:b/>
          <w:sz w:val="24"/>
          <w:szCs w:val="24"/>
          <w:u w:val="single"/>
        </w:rPr>
        <w:t>PARECER JURÍDICO:</w:t>
      </w:r>
    </w:p>
    <w:p w14:paraId="7C0AAE62" w14:textId="77777777" w:rsidR="003A4EF9" w:rsidRDefault="003A4EF9" w:rsidP="00C374FD">
      <w:pPr>
        <w:spacing w:line="360" w:lineRule="auto"/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C122D6F" w14:textId="7970EB95" w:rsidR="009F695D" w:rsidRPr="006E11A8" w:rsidRDefault="00EF6657" w:rsidP="00C374FD">
      <w:pPr>
        <w:spacing w:line="360" w:lineRule="auto"/>
        <w:ind w:right="29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11A8">
        <w:rPr>
          <w:rFonts w:asciiTheme="minorHAnsi" w:hAnsiTheme="minorHAnsi" w:cstheme="minorHAnsi"/>
          <w:b/>
          <w:sz w:val="24"/>
          <w:szCs w:val="24"/>
          <w:u w:val="single"/>
        </w:rPr>
        <w:t xml:space="preserve">I </w:t>
      </w:r>
      <w:r w:rsidR="003A4EF9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 w:rsidRPr="006E11A8">
        <w:rPr>
          <w:rFonts w:asciiTheme="minorHAnsi" w:hAnsiTheme="minorHAnsi" w:cstheme="minorHAnsi"/>
          <w:b/>
          <w:sz w:val="24"/>
          <w:szCs w:val="24"/>
          <w:u w:val="single"/>
        </w:rPr>
        <w:t xml:space="preserve"> RELATÓRIO</w:t>
      </w:r>
      <w:r w:rsidR="003A4EF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6065FEAC" w14:textId="77777777" w:rsidR="00853234" w:rsidRPr="006E11A8" w:rsidRDefault="00853234" w:rsidP="00095A5C">
      <w:pPr>
        <w:pStyle w:val="Ttulo1"/>
        <w:rPr>
          <w:rFonts w:asciiTheme="minorHAnsi" w:hAnsiTheme="minorHAnsi" w:cstheme="minorHAnsi"/>
          <w:sz w:val="24"/>
          <w:szCs w:val="24"/>
        </w:rPr>
      </w:pPr>
    </w:p>
    <w:p w14:paraId="069BCB83" w14:textId="4BAC0E82" w:rsidR="0031634B" w:rsidRPr="006E11A8" w:rsidRDefault="006F5E1F" w:rsidP="0031634B">
      <w:pPr>
        <w:pStyle w:val="Default"/>
        <w:spacing w:before="240" w:line="36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6E11A8">
        <w:rPr>
          <w:rFonts w:asciiTheme="minorHAnsi" w:hAnsiTheme="minorHAnsi" w:cstheme="minorHAnsi"/>
          <w:szCs w:val="24"/>
        </w:rPr>
        <w:t xml:space="preserve">Trata-se de </w:t>
      </w:r>
      <w:r w:rsidR="00F05229" w:rsidRPr="006E11A8">
        <w:rPr>
          <w:rFonts w:asciiTheme="minorHAnsi" w:hAnsiTheme="minorHAnsi" w:cstheme="minorHAnsi"/>
          <w:szCs w:val="24"/>
        </w:rPr>
        <w:t>impugnação</w:t>
      </w:r>
      <w:r w:rsidRPr="006E11A8">
        <w:rPr>
          <w:rFonts w:asciiTheme="minorHAnsi" w:hAnsiTheme="minorHAnsi" w:cstheme="minorHAnsi"/>
          <w:szCs w:val="24"/>
        </w:rPr>
        <w:t xml:space="preserve"> apresentada pela empresa</w:t>
      </w:r>
      <w:r w:rsidR="0031634B" w:rsidRPr="006E11A8">
        <w:rPr>
          <w:rFonts w:asciiTheme="minorHAnsi" w:hAnsiTheme="minorHAnsi" w:cstheme="minorHAnsi"/>
          <w:szCs w:val="24"/>
        </w:rPr>
        <w:t xml:space="preserve"> </w:t>
      </w:r>
      <w:r w:rsidR="00F05229" w:rsidRPr="006E11A8">
        <w:rPr>
          <w:rFonts w:asciiTheme="minorHAnsi" w:hAnsiTheme="minorHAnsi" w:cstheme="minorHAnsi"/>
          <w:b/>
          <w:bCs/>
          <w:szCs w:val="24"/>
        </w:rPr>
        <w:t>EDENRED SOLUÇÕES DE PAGAMENTOS HYLA S.A.</w:t>
      </w:r>
      <w:r w:rsidR="0031634B" w:rsidRPr="006E11A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E11A8">
        <w:rPr>
          <w:rFonts w:asciiTheme="minorHAnsi" w:hAnsiTheme="minorHAnsi" w:cstheme="minorHAnsi"/>
          <w:szCs w:val="24"/>
        </w:rPr>
        <w:t xml:space="preserve">em face ao </w:t>
      </w:r>
      <w:bookmarkStart w:id="0" w:name="_Hlk56163051"/>
      <w:r w:rsidRPr="006E11A8">
        <w:rPr>
          <w:rFonts w:asciiTheme="minorHAnsi" w:hAnsiTheme="minorHAnsi" w:cstheme="minorHAnsi"/>
          <w:szCs w:val="24"/>
        </w:rPr>
        <w:t xml:space="preserve">Edital de Pregão </w:t>
      </w:r>
      <w:r w:rsidR="00F05229" w:rsidRPr="006E11A8">
        <w:rPr>
          <w:rFonts w:asciiTheme="minorHAnsi" w:hAnsiTheme="minorHAnsi" w:cstheme="minorHAnsi"/>
          <w:szCs w:val="24"/>
        </w:rPr>
        <w:t>Eletrônico</w:t>
      </w:r>
      <w:r w:rsidRPr="006E11A8">
        <w:rPr>
          <w:rFonts w:asciiTheme="minorHAnsi" w:hAnsiTheme="minorHAnsi" w:cstheme="minorHAnsi"/>
          <w:szCs w:val="24"/>
        </w:rPr>
        <w:t xml:space="preserve"> nº </w:t>
      </w:r>
      <w:bookmarkEnd w:id="0"/>
      <w:r w:rsidR="0031634B" w:rsidRPr="006E11A8">
        <w:rPr>
          <w:rFonts w:asciiTheme="minorHAnsi" w:hAnsiTheme="minorHAnsi" w:cstheme="minorHAnsi"/>
          <w:szCs w:val="24"/>
        </w:rPr>
        <w:t>0</w:t>
      </w:r>
      <w:r w:rsidR="00F05229" w:rsidRPr="006E11A8">
        <w:rPr>
          <w:rFonts w:asciiTheme="minorHAnsi" w:hAnsiTheme="minorHAnsi" w:cstheme="minorHAnsi"/>
          <w:szCs w:val="24"/>
        </w:rPr>
        <w:t>15/2021</w:t>
      </w:r>
      <w:r w:rsidRPr="006E11A8">
        <w:rPr>
          <w:rFonts w:asciiTheme="minorHAnsi" w:hAnsiTheme="minorHAnsi" w:cstheme="minorHAnsi"/>
          <w:szCs w:val="24"/>
        </w:rPr>
        <w:t>, cujo objeto é “</w:t>
      </w:r>
      <w:r w:rsidR="0031634B" w:rsidRPr="006E11A8">
        <w:rPr>
          <w:rFonts w:asciiTheme="minorHAnsi" w:hAnsiTheme="minorHAnsi" w:cstheme="minorHAnsi"/>
          <w:i/>
          <w:iCs/>
          <w:szCs w:val="24"/>
        </w:rPr>
        <w:t xml:space="preserve">a contratação de empresa especializada na prestação de serviço de emissão e gestão de cartão com tarja magnética, bem como disponibilização de benefícios no cartão, contemplando carga e recarga de valor, para atender às necessidades do Município de Niterói, conforme especificações e quantitativos constantes no Termo de Referência – Anexo I do </w:t>
      </w:r>
      <w:proofErr w:type="gramStart"/>
      <w:r w:rsidR="0031634B" w:rsidRPr="006E11A8">
        <w:rPr>
          <w:rFonts w:asciiTheme="minorHAnsi" w:hAnsiTheme="minorHAnsi" w:cstheme="minorHAnsi"/>
          <w:i/>
          <w:iCs/>
          <w:szCs w:val="24"/>
        </w:rPr>
        <w:t>Edital</w:t>
      </w:r>
      <w:r w:rsidR="0031634B" w:rsidRPr="006E11A8">
        <w:rPr>
          <w:rFonts w:asciiTheme="minorHAnsi" w:hAnsiTheme="minorHAnsi" w:cstheme="minorHAnsi"/>
          <w:szCs w:val="24"/>
        </w:rPr>
        <w:t>.”</w:t>
      </w:r>
      <w:proofErr w:type="gramEnd"/>
    </w:p>
    <w:p w14:paraId="22B560E1" w14:textId="3CA3AAF3" w:rsidR="0031634B" w:rsidRPr="006E11A8" w:rsidRDefault="0031634B" w:rsidP="0031634B">
      <w:pPr>
        <w:pStyle w:val="Default"/>
        <w:spacing w:before="240" w:line="36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6E11A8">
        <w:rPr>
          <w:rFonts w:asciiTheme="minorHAnsi" w:hAnsiTheme="minorHAnsi" w:cstheme="minorHAnsi"/>
          <w:szCs w:val="24"/>
        </w:rPr>
        <w:t xml:space="preserve">O edital, incluindo seus anexos, estão disponíveis no sítio eletrônico </w:t>
      </w:r>
      <w:hyperlink r:id="rId8" w:history="1">
        <w:r w:rsidRPr="006E11A8">
          <w:rPr>
            <w:rStyle w:val="Hyperlink"/>
            <w:rFonts w:asciiTheme="minorHAnsi" w:hAnsiTheme="minorHAnsi" w:cstheme="minorHAnsi"/>
            <w:szCs w:val="24"/>
          </w:rPr>
          <w:t>http://www.niteroi.rj.gov.br/2021/04/16/licitacao-sma-em-andamento/</w:t>
        </w:r>
      </w:hyperlink>
      <w:r w:rsidRPr="006E11A8">
        <w:rPr>
          <w:rFonts w:asciiTheme="minorHAnsi" w:hAnsiTheme="minorHAnsi" w:cstheme="minorHAnsi"/>
          <w:szCs w:val="24"/>
        </w:rPr>
        <w:t xml:space="preserve"> e, conforme consta do documento, o certame está marcado para o dia 14/06/2021</w:t>
      </w:r>
      <w:r w:rsidR="004D745D" w:rsidRPr="006E11A8">
        <w:rPr>
          <w:rFonts w:asciiTheme="minorHAnsi" w:hAnsiTheme="minorHAnsi" w:cstheme="minorHAnsi"/>
          <w:szCs w:val="24"/>
        </w:rPr>
        <w:t xml:space="preserve"> às 10:00h.</w:t>
      </w:r>
    </w:p>
    <w:p w14:paraId="6DE1FD6C" w14:textId="0A0F3EE5" w:rsidR="004D745D" w:rsidRPr="006E11A8" w:rsidRDefault="004D745D" w:rsidP="0031634B">
      <w:pPr>
        <w:pStyle w:val="Default"/>
        <w:spacing w:before="240" w:line="36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6E11A8">
        <w:rPr>
          <w:rFonts w:asciiTheme="minorHAnsi" w:hAnsiTheme="minorHAnsi" w:cstheme="minorHAnsi"/>
          <w:szCs w:val="24"/>
        </w:rPr>
        <w:t xml:space="preserve">A impugnação tem como pedido a reformulação do item </w:t>
      </w:r>
      <w:proofErr w:type="gramStart"/>
      <w:r w:rsidR="004A461C" w:rsidRPr="006E11A8">
        <w:rPr>
          <w:rFonts w:asciiTheme="minorHAnsi" w:hAnsiTheme="minorHAnsi" w:cstheme="minorHAnsi"/>
          <w:szCs w:val="24"/>
        </w:rPr>
        <w:t>12.5.2.2</w:t>
      </w:r>
      <w:r w:rsidRPr="006E11A8">
        <w:rPr>
          <w:rFonts w:asciiTheme="minorHAnsi" w:hAnsiTheme="minorHAnsi" w:cstheme="minorHAnsi"/>
          <w:szCs w:val="24"/>
        </w:rPr>
        <w:t xml:space="preserve">  do</w:t>
      </w:r>
      <w:proofErr w:type="gramEnd"/>
      <w:r w:rsidRPr="006E11A8">
        <w:rPr>
          <w:rFonts w:asciiTheme="minorHAnsi" w:hAnsiTheme="minorHAnsi" w:cstheme="minorHAnsi"/>
          <w:szCs w:val="24"/>
        </w:rPr>
        <w:t xml:space="preserve"> edital, “</w:t>
      </w:r>
      <w:r w:rsidRPr="006E11A8">
        <w:rPr>
          <w:rFonts w:asciiTheme="minorHAnsi" w:hAnsiTheme="minorHAnsi" w:cstheme="minorHAnsi"/>
          <w:i/>
          <w:iCs/>
          <w:szCs w:val="24"/>
        </w:rPr>
        <w:t>sendo para sua retirada ou alteração, exigindo outro valor de índice financeiro ou requerendo a apresentação alternativa de patrimônio líquido/capital social igual ou superior a 10% do objeto do edital (e não cumulativa), ou, ainda, somente a aceitação de garantia contratual como suporte de contrato</w:t>
      </w:r>
      <w:r w:rsidRPr="006E11A8">
        <w:rPr>
          <w:rFonts w:asciiTheme="minorHAnsi" w:hAnsiTheme="minorHAnsi" w:cstheme="minorHAnsi"/>
          <w:szCs w:val="24"/>
        </w:rPr>
        <w:t>.”</w:t>
      </w:r>
    </w:p>
    <w:p w14:paraId="238D167E" w14:textId="7A6AAE09" w:rsidR="004D745D" w:rsidRPr="006E11A8" w:rsidRDefault="004D745D" w:rsidP="0031634B">
      <w:pPr>
        <w:pStyle w:val="Default"/>
        <w:spacing w:before="240" w:line="36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6E11A8">
        <w:rPr>
          <w:rFonts w:asciiTheme="minorHAnsi" w:hAnsiTheme="minorHAnsi" w:cstheme="minorHAnsi"/>
          <w:szCs w:val="24"/>
        </w:rPr>
        <w:t>O argumento apresentado pelo impugnante é de que</w:t>
      </w:r>
      <w:r w:rsidR="008264F3" w:rsidRPr="006E11A8">
        <w:rPr>
          <w:rFonts w:asciiTheme="minorHAnsi" w:hAnsiTheme="minorHAnsi" w:cstheme="minorHAnsi"/>
          <w:szCs w:val="24"/>
        </w:rPr>
        <w:t xml:space="preserve"> </w:t>
      </w:r>
      <w:r w:rsidRPr="006E11A8">
        <w:rPr>
          <w:rFonts w:asciiTheme="minorHAnsi" w:hAnsiTheme="minorHAnsi" w:cstheme="minorHAnsi"/>
          <w:szCs w:val="24"/>
        </w:rPr>
        <w:t>a “</w:t>
      </w:r>
      <w:r w:rsidRPr="006E11A8">
        <w:rPr>
          <w:rFonts w:asciiTheme="minorHAnsi" w:hAnsiTheme="minorHAnsi" w:cstheme="minorHAnsi"/>
          <w:i/>
          <w:iCs/>
          <w:szCs w:val="24"/>
        </w:rPr>
        <w:t xml:space="preserve">exigência </w:t>
      </w:r>
      <w:proofErr w:type="spellStart"/>
      <w:r w:rsidRPr="006E11A8">
        <w:rPr>
          <w:rFonts w:asciiTheme="minorHAnsi" w:hAnsiTheme="minorHAnsi" w:cstheme="minorHAnsi"/>
          <w:i/>
          <w:iCs/>
          <w:szCs w:val="24"/>
        </w:rPr>
        <w:t>editalícia</w:t>
      </w:r>
      <w:proofErr w:type="spellEnd"/>
      <w:r w:rsidRPr="006E11A8">
        <w:rPr>
          <w:rFonts w:asciiTheme="minorHAnsi" w:hAnsiTheme="minorHAnsi" w:cstheme="minorHAnsi"/>
          <w:i/>
          <w:iCs/>
          <w:szCs w:val="24"/>
        </w:rPr>
        <w:t xml:space="preserve">, mostra-se claramente restritiva, sendo capaz também, de diminuir a participação das empresas no presente certame, pois da forma como o Edital foi elaborado, o pregão </w:t>
      </w:r>
      <w:r w:rsidRPr="006E11A8">
        <w:rPr>
          <w:rFonts w:asciiTheme="minorHAnsi" w:hAnsiTheme="minorHAnsi" w:cstheme="minorHAnsi"/>
          <w:i/>
          <w:iCs/>
          <w:szCs w:val="24"/>
        </w:rPr>
        <w:lastRenderedPageBreak/>
        <w:t>certamente ficará prejudicado, face à inviabilidade de algumas das Licitantes em atenderem a exigência relativa à qualificação econômico-</w:t>
      </w:r>
      <w:proofErr w:type="gramStart"/>
      <w:r w:rsidRPr="006E11A8">
        <w:rPr>
          <w:rFonts w:asciiTheme="minorHAnsi" w:hAnsiTheme="minorHAnsi" w:cstheme="minorHAnsi"/>
          <w:i/>
          <w:iCs/>
          <w:szCs w:val="24"/>
        </w:rPr>
        <w:t>financeira</w:t>
      </w:r>
      <w:r w:rsidRPr="006E11A8">
        <w:rPr>
          <w:rFonts w:asciiTheme="minorHAnsi" w:hAnsiTheme="minorHAnsi" w:cstheme="minorHAnsi"/>
          <w:szCs w:val="24"/>
        </w:rPr>
        <w:t>.”</w:t>
      </w:r>
      <w:proofErr w:type="gramEnd"/>
      <w:r w:rsidRPr="006E11A8">
        <w:rPr>
          <w:rFonts w:asciiTheme="minorHAnsi" w:hAnsiTheme="minorHAnsi" w:cstheme="minorHAnsi"/>
          <w:szCs w:val="24"/>
        </w:rPr>
        <w:t xml:space="preserve"> </w:t>
      </w:r>
    </w:p>
    <w:p w14:paraId="6E9D4AD3" w14:textId="77777777" w:rsidR="0031634B" w:rsidRPr="006E11A8" w:rsidRDefault="0031634B" w:rsidP="0031634B">
      <w:pPr>
        <w:pStyle w:val="Default"/>
        <w:ind w:firstLine="1134"/>
        <w:rPr>
          <w:rFonts w:asciiTheme="minorHAnsi" w:hAnsiTheme="minorHAnsi" w:cstheme="minorHAnsi"/>
          <w:szCs w:val="24"/>
        </w:rPr>
      </w:pPr>
    </w:p>
    <w:p w14:paraId="413B695E" w14:textId="268603D3" w:rsidR="00CD6595" w:rsidRPr="006E11A8" w:rsidRDefault="00BB2575" w:rsidP="004D745D">
      <w:pPr>
        <w:pStyle w:val="Default"/>
        <w:ind w:left="426" w:firstLine="708"/>
        <w:rPr>
          <w:rFonts w:asciiTheme="minorHAnsi" w:hAnsiTheme="minorHAnsi" w:cstheme="minorHAnsi"/>
          <w:color w:val="000000" w:themeColor="text1"/>
          <w:szCs w:val="24"/>
        </w:rPr>
      </w:pPr>
      <w:r w:rsidRPr="006E11A8">
        <w:rPr>
          <w:rFonts w:asciiTheme="minorHAnsi" w:hAnsiTheme="minorHAnsi" w:cstheme="minorHAnsi"/>
          <w:color w:val="000000" w:themeColor="text1"/>
          <w:szCs w:val="24"/>
        </w:rPr>
        <w:t xml:space="preserve">É o breve relatório. Passo a análise jurídica. </w:t>
      </w:r>
    </w:p>
    <w:p w14:paraId="3D69D4AB" w14:textId="4739DEBC" w:rsidR="000A4F75" w:rsidRPr="006E11A8" w:rsidRDefault="005E11E2" w:rsidP="005E11E2">
      <w:pPr>
        <w:spacing w:before="24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E11A8">
        <w:rPr>
          <w:rFonts w:asciiTheme="minorHAnsi" w:hAnsiTheme="minorHAnsi" w:cstheme="minorHAnsi"/>
          <w:b/>
          <w:bCs/>
          <w:sz w:val="24"/>
          <w:szCs w:val="24"/>
          <w:u w:val="single"/>
        </w:rPr>
        <w:t>II – ANÁLISE JURÍDICA</w:t>
      </w:r>
    </w:p>
    <w:p w14:paraId="4B93BE3E" w14:textId="4442558D" w:rsidR="005735EA" w:rsidRPr="006E11A8" w:rsidRDefault="00941C81" w:rsidP="004A461C">
      <w:pPr>
        <w:tabs>
          <w:tab w:val="left" w:pos="1134"/>
        </w:tabs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ab/>
        <w:t xml:space="preserve">Conforme exposto no capítulo anterior, </w:t>
      </w:r>
      <w:r w:rsidR="008264F3" w:rsidRPr="006E11A8">
        <w:rPr>
          <w:rFonts w:asciiTheme="minorHAnsi" w:hAnsiTheme="minorHAnsi" w:cstheme="minorHAnsi"/>
          <w:sz w:val="24"/>
          <w:szCs w:val="24"/>
        </w:rPr>
        <w:t xml:space="preserve">a </w:t>
      </w:r>
      <w:r w:rsidR="008264F3" w:rsidRPr="006E11A8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EDENRED SOLUÇÕES DE PAGAMENTOS HYLA S.A. </w:t>
      </w:r>
      <w:r w:rsidR="005735EA" w:rsidRPr="006E11A8">
        <w:rPr>
          <w:rFonts w:asciiTheme="minorHAnsi" w:hAnsiTheme="minorHAnsi" w:cstheme="minorHAnsi"/>
          <w:sz w:val="24"/>
          <w:szCs w:val="24"/>
        </w:rPr>
        <w:t>questiona o item 1</w:t>
      </w:r>
      <w:r w:rsidR="008264F3" w:rsidRPr="006E11A8">
        <w:rPr>
          <w:rFonts w:asciiTheme="minorHAnsi" w:hAnsiTheme="minorHAnsi" w:cstheme="minorHAnsi"/>
          <w:sz w:val="24"/>
          <w:szCs w:val="24"/>
        </w:rPr>
        <w:t>2.5.2.2</w:t>
      </w:r>
      <w:r w:rsidR="005735EA" w:rsidRPr="006E11A8">
        <w:rPr>
          <w:rFonts w:asciiTheme="minorHAnsi" w:hAnsiTheme="minorHAnsi" w:cstheme="minorHAnsi"/>
          <w:sz w:val="24"/>
          <w:szCs w:val="24"/>
        </w:rPr>
        <w:t xml:space="preserve"> do instrumento convocatório, </w:t>
      </w:r>
      <w:r w:rsidR="004F27E8" w:rsidRPr="006E11A8">
        <w:rPr>
          <w:rFonts w:asciiTheme="minorHAnsi" w:hAnsiTheme="minorHAnsi" w:cstheme="minorHAnsi"/>
          <w:sz w:val="24"/>
          <w:szCs w:val="24"/>
        </w:rPr>
        <w:t xml:space="preserve">que dispõe sobre comprovação da qualificação econômico-financeira e </w:t>
      </w:r>
      <w:r w:rsidR="005735EA" w:rsidRPr="006E11A8">
        <w:rPr>
          <w:rFonts w:asciiTheme="minorHAnsi" w:hAnsiTheme="minorHAnsi" w:cstheme="minorHAnsi"/>
          <w:sz w:val="24"/>
          <w:szCs w:val="24"/>
        </w:rPr>
        <w:t>possui a seguinte redação:</w:t>
      </w:r>
    </w:p>
    <w:p w14:paraId="52D0E3C7" w14:textId="6505EC53" w:rsidR="004F27E8" w:rsidRPr="006E11A8" w:rsidRDefault="004F27E8" w:rsidP="004A461C">
      <w:pPr>
        <w:spacing w:before="240"/>
        <w:ind w:left="2268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4132308"/>
      <w:r w:rsidRPr="006E11A8">
        <w:rPr>
          <w:rFonts w:asciiTheme="minorHAnsi" w:hAnsiTheme="minorHAnsi" w:cstheme="minorHAnsi"/>
          <w:sz w:val="22"/>
          <w:szCs w:val="22"/>
        </w:rPr>
        <w:t xml:space="preserve">12.5.2.2 </w:t>
      </w:r>
      <w:bookmarkEnd w:id="1"/>
      <w:r w:rsidRPr="006E11A8">
        <w:rPr>
          <w:rFonts w:asciiTheme="minorHAnsi" w:hAnsiTheme="minorHAnsi" w:cstheme="minorHAnsi"/>
          <w:sz w:val="22"/>
          <w:szCs w:val="22"/>
        </w:rPr>
        <w:t xml:space="preserve">A situação econômico-financeira das empresas licitantes será avaliada, dentre outros critérios, pelos Índice de Liquidez Geral (ILG), Índice de Liquidez Corrente (ILC) e Índice de Endividamento (IE). Os licitantes deverão </w:t>
      </w:r>
      <w:bookmarkStart w:id="2" w:name="_Hlk74074085"/>
      <w:r w:rsidRPr="006E11A8">
        <w:rPr>
          <w:rFonts w:asciiTheme="minorHAnsi" w:hAnsiTheme="minorHAnsi" w:cstheme="minorHAnsi"/>
          <w:sz w:val="22"/>
          <w:szCs w:val="22"/>
        </w:rPr>
        <w:t>comprovar que dispõem dos índices econômico-financeiros mínimos previstos a seguir</w:t>
      </w:r>
      <w:bookmarkEnd w:id="2"/>
      <w:r w:rsidRPr="006E11A8">
        <w:rPr>
          <w:rFonts w:asciiTheme="minorHAnsi" w:hAnsiTheme="minorHAnsi" w:cstheme="minorHAnsi"/>
          <w:sz w:val="22"/>
          <w:szCs w:val="22"/>
        </w:rPr>
        <w:t>:</w:t>
      </w:r>
    </w:p>
    <w:p w14:paraId="7BE9529C" w14:textId="77777777" w:rsidR="004A461C" w:rsidRPr="006E11A8" w:rsidRDefault="004F27E8" w:rsidP="00721DE8">
      <w:pPr>
        <w:spacing w:before="24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6E11A8">
        <w:rPr>
          <w:rFonts w:asciiTheme="minorHAnsi" w:hAnsiTheme="minorHAnsi" w:cstheme="minorHAnsi"/>
          <w:sz w:val="22"/>
          <w:szCs w:val="22"/>
        </w:rPr>
        <w:t>a) Índice de Liquidez Geral: somente serão qualificados os Licitantes que obtiverem Índice de Liquidez Geral (ILG) igual ou maior do que 1, apurado nas demonstrações financeiras do último exercício financeiro, calculado de acordo com a seguinte fórmula:</w:t>
      </w:r>
    </w:p>
    <w:p w14:paraId="7745AD52" w14:textId="2F4818BA" w:rsidR="004F27E8" w:rsidRPr="006E11A8" w:rsidRDefault="005735EA" w:rsidP="00721DE8">
      <w:pPr>
        <w:spacing w:before="24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6E11A8">
        <w:rPr>
          <w:rFonts w:asciiTheme="minorHAnsi" w:hAnsiTheme="minorHAnsi" w:cstheme="minorHAnsi"/>
          <w:sz w:val="22"/>
          <w:szCs w:val="22"/>
        </w:rPr>
        <w:tab/>
      </w:r>
      <w:r w:rsidRPr="006E11A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</w:tblGrid>
      <w:tr w:rsidR="004F27E8" w:rsidRPr="006E11A8" w14:paraId="0D9AB786" w14:textId="77777777" w:rsidTr="00D970BC"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D73" w14:textId="77777777" w:rsidR="004F27E8" w:rsidRPr="006E11A8" w:rsidRDefault="004F27E8" w:rsidP="00D970BC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E11A8">
              <w:rPr>
                <w:rFonts w:asciiTheme="minorHAnsi" w:hAnsiTheme="minorHAnsi" w:cstheme="minorHAnsi"/>
                <w:iCs/>
                <w:sz w:val="22"/>
                <w:szCs w:val="22"/>
              </w:rPr>
              <w:t>ILG = ATIVO CIRCULANTE + REALIZÁVEL A LONGO PRAZO &gt; OU = 1</w:t>
            </w:r>
          </w:p>
          <w:p w14:paraId="6802EA93" w14:textId="77777777" w:rsidR="004F27E8" w:rsidRPr="006E11A8" w:rsidRDefault="004F27E8" w:rsidP="00D970BC">
            <w:pPr>
              <w:pStyle w:val="Default"/>
              <w:ind w:left="2268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52EDF346" w14:textId="77777777" w:rsidR="004F27E8" w:rsidRPr="006E11A8" w:rsidRDefault="004F27E8" w:rsidP="00D970BC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E11A8">
              <w:rPr>
                <w:rFonts w:asciiTheme="minorHAnsi" w:hAnsiTheme="minorHAnsi" w:cstheme="minorHAnsi"/>
                <w:iCs/>
                <w:sz w:val="22"/>
                <w:szCs w:val="22"/>
              </w:rPr>
              <w:t>PASSIVO CIRCULANTE + EXIGÍVEL A LONGO PRAZO</w:t>
            </w:r>
          </w:p>
        </w:tc>
      </w:tr>
    </w:tbl>
    <w:p w14:paraId="0E6171EC" w14:textId="77777777" w:rsidR="004F27E8" w:rsidRPr="006E11A8" w:rsidRDefault="004F27E8" w:rsidP="00D970BC">
      <w:pPr>
        <w:pStyle w:val="Default"/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F9B6F66" w14:textId="7794B7E7" w:rsidR="004F27E8" w:rsidRPr="006E11A8" w:rsidRDefault="004F27E8" w:rsidP="00D970BC">
      <w:pPr>
        <w:pStyle w:val="Default"/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E11A8">
        <w:rPr>
          <w:rFonts w:asciiTheme="minorHAnsi" w:hAnsiTheme="minorHAnsi" w:cstheme="minorHAnsi"/>
          <w:iCs/>
          <w:sz w:val="22"/>
          <w:szCs w:val="22"/>
        </w:rPr>
        <w:t>d) Índice de Liquidez Corrente: somente serão qualificados os Licitantes que obtiverem Índice de Liquidez Corrente (ILC) igual ou maior do que 1, apurado nas demonstrações financeiras do último exercício financeiro, calculado de acordo com a seguinte fórmula:</w:t>
      </w:r>
    </w:p>
    <w:p w14:paraId="2ADFAE2F" w14:textId="1F600A23" w:rsidR="004F27E8" w:rsidRPr="006E11A8" w:rsidRDefault="004F27E8" w:rsidP="00D970BC">
      <w:pPr>
        <w:pStyle w:val="Default"/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4F27E8" w:rsidRPr="006E11A8" w14:paraId="03C499F8" w14:textId="77777777" w:rsidTr="00D970B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70C" w14:textId="77777777" w:rsidR="004F27E8" w:rsidRPr="006E11A8" w:rsidRDefault="004F27E8" w:rsidP="00D970BC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E11A8">
              <w:rPr>
                <w:rFonts w:asciiTheme="minorHAnsi" w:hAnsiTheme="minorHAnsi" w:cstheme="minorHAnsi"/>
                <w:iCs/>
                <w:sz w:val="22"/>
                <w:szCs w:val="22"/>
              </w:rPr>
              <w:t>ILC = ATIVO CIRCULANTE &gt; OU = 1</w:t>
            </w:r>
          </w:p>
          <w:p w14:paraId="1332C255" w14:textId="77777777" w:rsidR="004F27E8" w:rsidRPr="006E11A8" w:rsidRDefault="004F27E8" w:rsidP="00D970BC">
            <w:pPr>
              <w:pStyle w:val="Default"/>
              <w:ind w:left="2268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D55E87C" w14:textId="77777777" w:rsidR="004F27E8" w:rsidRPr="006E11A8" w:rsidRDefault="004F27E8" w:rsidP="00D970BC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E11A8">
              <w:rPr>
                <w:rFonts w:asciiTheme="minorHAnsi" w:hAnsiTheme="minorHAnsi" w:cstheme="minorHAnsi"/>
                <w:iCs/>
                <w:sz w:val="22"/>
                <w:szCs w:val="22"/>
              </w:rPr>
              <w:t>PASSIVO CIRCULANTE</w:t>
            </w:r>
          </w:p>
        </w:tc>
      </w:tr>
    </w:tbl>
    <w:p w14:paraId="4271A5E0" w14:textId="77777777" w:rsidR="004F27E8" w:rsidRPr="006E11A8" w:rsidRDefault="004F27E8" w:rsidP="00D970BC">
      <w:pPr>
        <w:pStyle w:val="Default"/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71F49D0" w14:textId="77777777" w:rsidR="004F27E8" w:rsidRPr="006E11A8" w:rsidRDefault="004F27E8" w:rsidP="00D970BC">
      <w:pPr>
        <w:pStyle w:val="Default"/>
        <w:ind w:left="2268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65F77BE" w14:textId="2BAEB7D9" w:rsidR="004F27E8" w:rsidRPr="006E11A8" w:rsidRDefault="004F27E8" w:rsidP="00D970BC">
      <w:pPr>
        <w:pStyle w:val="Default"/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E11A8">
        <w:rPr>
          <w:rFonts w:asciiTheme="minorHAnsi" w:hAnsiTheme="minorHAnsi" w:cstheme="minorHAnsi"/>
          <w:iCs/>
          <w:sz w:val="22"/>
          <w:szCs w:val="22"/>
        </w:rPr>
        <w:t>c) Índice de Endividamento: somente serão qualificados os Licitantes que obtiverem Índice Endividamento (IE) igual ou menor do que 1, apurado nas demonstrações financeiras do último exercício financeiro, calculado de acordo com a seguinte fórmula:</w:t>
      </w:r>
    </w:p>
    <w:p w14:paraId="01663691" w14:textId="77777777" w:rsidR="004F27E8" w:rsidRPr="006E11A8" w:rsidRDefault="004F27E8" w:rsidP="00D970BC">
      <w:pPr>
        <w:pStyle w:val="Default"/>
        <w:autoSpaceDE w:val="0"/>
        <w:autoSpaceDN w:val="0"/>
        <w:adjustRightInd w:val="0"/>
        <w:ind w:left="2268"/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D970BC" w:rsidRPr="006E11A8" w14:paraId="1561FA9E" w14:textId="77777777" w:rsidTr="00D970BC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74C" w14:textId="77777777" w:rsidR="00D970BC" w:rsidRPr="006E11A8" w:rsidRDefault="00D970BC" w:rsidP="00D970BC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E11A8">
              <w:rPr>
                <w:rFonts w:asciiTheme="minorHAnsi" w:hAnsiTheme="minorHAnsi" w:cstheme="minorHAnsi"/>
                <w:iCs/>
                <w:sz w:val="22"/>
                <w:szCs w:val="22"/>
              </w:rPr>
              <w:t>IE = PASSIVO CIRCULANTE + EXIGÍVEL A LONGO PRAZO = OU &lt; 1</w:t>
            </w:r>
          </w:p>
          <w:p w14:paraId="3E7C20BA" w14:textId="77777777" w:rsidR="00D970BC" w:rsidRPr="006E11A8" w:rsidRDefault="00D970BC" w:rsidP="00D970BC">
            <w:pPr>
              <w:pStyle w:val="Default"/>
              <w:ind w:left="2268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3B004BA0" w14:textId="77777777" w:rsidR="00D970BC" w:rsidRPr="006E11A8" w:rsidRDefault="00D970BC" w:rsidP="00D970BC">
            <w:pPr>
              <w:pStyle w:val="Default"/>
              <w:ind w:left="2268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E11A8">
              <w:rPr>
                <w:rFonts w:asciiTheme="minorHAnsi" w:hAnsiTheme="minorHAnsi" w:cstheme="minorHAnsi"/>
                <w:iCs/>
                <w:sz w:val="22"/>
                <w:szCs w:val="22"/>
              </w:rPr>
              <w:t>ATIVO TOTAL</w:t>
            </w:r>
          </w:p>
        </w:tc>
      </w:tr>
    </w:tbl>
    <w:p w14:paraId="3285DCBD" w14:textId="77777777" w:rsidR="00363AC8" w:rsidRPr="006E11A8" w:rsidRDefault="005735EA" w:rsidP="00363AC8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Trata-se de cláusula constante </w:t>
      </w:r>
      <w:r w:rsidR="00D35ADB" w:rsidRPr="006E11A8">
        <w:rPr>
          <w:rFonts w:asciiTheme="minorHAnsi" w:hAnsiTheme="minorHAnsi" w:cstheme="minorHAnsi"/>
          <w:sz w:val="24"/>
          <w:szCs w:val="24"/>
        </w:rPr>
        <w:t>da</w:t>
      </w:r>
      <w:r w:rsidR="002A2266" w:rsidRPr="006E11A8">
        <w:rPr>
          <w:rFonts w:asciiTheme="minorHAnsi" w:hAnsiTheme="minorHAnsi" w:cstheme="minorHAnsi"/>
          <w:sz w:val="24"/>
          <w:szCs w:val="24"/>
        </w:rPr>
        <w:t>s</w:t>
      </w:r>
      <w:r w:rsidR="00D35ADB" w:rsidRPr="006E11A8">
        <w:rPr>
          <w:rFonts w:asciiTheme="minorHAnsi" w:hAnsiTheme="minorHAnsi" w:cstheme="minorHAnsi"/>
          <w:sz w:val="24"/>
          <w:szCs w:val="24"/>
        </w:rPr>
        <w:t xml:space="preserve"> minuta</w:t>
      </w:r>
      <w:r w:rsidR="002A2266" w:rsidRPr="006E11A8">
        <w:rPr>
          <w:rFonts w:asciiTheme="minorHAnsi" w:hAnsiTheme="minorHAnsi" w:cstheme="minorHAnsi"/>
          <w:sz w:val="24"/>
          <w:szCs w:val="24"/>
        </w:rPr>
        <w:t>s</w:t>
      </w:r>
      <w:r w:rsidR="00D35ADB" w:rsidRPr="006E11A8">
        <w:rPr>
          <w:rFonts w:asciiTheme="minorHAnsi" w:hAnsiTheme="minorHAnsi" w:cstheme="minorHAnsi"/>
          <w:sz w:val="24"/>
          <w:szCs w:val="24"/>
        </w:rPr>
        <w:t>-padrão de edita</w:t>
      </w:r>
      <w:r w:rsidR="002A2266" w:rsidRPr="006E11A8">
        <w:rPr>
          <w:rFonts w:asciiTheme="minorHAnsi" w:hAnsiTheme="minorHAnsi" w:cstheme="minorHAnsi"/>
          <w:sz w:val="24"/>
          <w:szCs w:val="24"/>
        </w:rPr>
        <w:t xml:space="preserve">is </w:t>
      </w:r>
      <w:r w:rsidR="00D35ADB" w:rsidRPr="006E11A8">
        <w:rPr>
          <w:rFonts w:asciiTheme="minorHAnsi" w:hAnsiTheme="minorHAnsi" w:cstheme="minorHAnsi"/>
          <w:sz w:val="24"/>
          <w:szCs w:val="24"/>
        </w:rPr>
        <w:t>de licitação, cuja observância é obrigatória pelos órgãos e entidades da Administração Pública direta e indireta municipal, nos termos do Decreto nº 11.466/2013.</w:t>
      </w:r>
    </w:p>
    <w:p w14:paraId="5DAA6726" w14:textId="64DDF827" w:rsidR="00363AC8" w:rsidRPr="006E11A8" w:rsidRDefault="00D35ADB" w:rsidP="00363AC8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Pois bem. </w:t>
      </w:r>
      <w:r w:rsidR="00316E6E" w:rsidRPr="006E11A8">
        <w:rPr>
          <w:rFonts w:asciiTheme="minorHAnsi" w:hAnsiTheme="minorHAnsi" w:cstheme="minorHAnsi"/>
          <w:sz w:val="24"/>
          <w:szCs w:val="24"/>
        </w:rPr>
        <w:t>A qualificação econômico-financeira consiste na comprovação, a ser feita pelo licitante, de que esse possui capacidade para executar o objeto a ser contratado, competindo à Administração eleger as</w:t>
      </w:r>
      <w:r w:rsidR="00363AC8" w:rsidRPr="006E11A8">
        <w:rPr>
          <w:rFonts w:asciiTheme="minorHAnsi" w:hAnsiTheme="minorHAnsi" w:cstheme="minorHAnsi"/>
          <w:sz w:val="24"/>
          <w:szCs w:val="24"/>
        </w:rPr>
        <w:t xml:space="preserve"> </w:t>
      </w:r>
      <w:r w:rsidR="00316E6E" w:rsidRPr="006E11A8">
        <w:rPr>
          <w:rFonts w:asciiTheme="minorHAnsi" w:hAnsiTheme="minorHAnsi" w:cstheme="minorHAnsi"/>
          <w:sz w:val="24"/>
          <w:szCs w:val="24"/>
        </w:rPr>
        <w:t>qualificações previstas no artigo 31 da Lei n. 8.666/1993</w:t>
      </w:r>
      <w:r w:rsidR="00363AC8" w:rsidRPr="006E11A8">
        <w:rPr>
          <w:rFonts w:asciiTheme="minorHAnsi" w:hAnsiTheme="minorHAnsi" w:cstheme="minorHAnsi"/>
          <w:sz w:val="24"/>
          <w:szCs w:val="24"/>
        </w:rPr>
        <w:t xml:space="preserve">, </w:t>
      </w:r>
      <w:r w:rsidR="00363AC8" w:rsidRPr="006E11A8">
        <w:rPr>
          <w:rFonts w:asciiTheme="minorHAnsi" w:hAnsiTheme="minorHAnsi" w:cstheme="minorHAnsi"/>
          <w:i/>
          <w:iCs/>
          <w:sz w:val="24"/>
          <w:szCs w:val="24"/>
        </w:rPr>
        <w:t xml:space="preserve">in </w:t>
      </w:r>
      <w:proofErr w:type="spellStart"/>
      <w:r w:rsidR="00363AC8" w:rsidRPr="006E11A8">
        <w:rPr>
          <w:rFonts w:asciiTheme="minorHAnsi" w:hAnsiTheme="minorHAnsi" w:cstheme="minorHAnsi"/>
          <w:i/>
          <w:iCs/>
          <w:sz w:val="24"/>
          <w:szCs w:val="24"/>
        </w:rPr>
        <w:t>verbis</w:t>
      </w:r>
      <w:proofErr w:type="spellEnd"/>
      <w:r w:rsidR="00363AC8" w:rsidRPr="006E11A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BDF635E" w14:textId="172E1362" w:rsidR="00363AC8" w:rsidRPr="006E11A8" w:rsidRDefault="00363AC8" w:rsidP="00363AC8">
      <w:pPr>
        <w:pStyle w:val="NormalWeb"/>
        <w:ind w:left="2268"/>
        <w:jc w:val="both"/>
        <w:rPr>
          <w:rFonts w:asciiTheme="minorHAnsi" w:hAnsiTheme="minorHAnsi" w:cstheme="minorHAnsi"/>
          <w:color w:val="000000"/>
          <w:szCs w:val="24"/>
        </w:rPr>
      </w:pPr>
      <w:r w:rsidRPr="006E11A8">
        <w:rPr>
          <w:rFonts w:asciiTheme="minorHAnsi" w:hAnsiTheme="minorHAnsi" w:cstheme="minorHAnsi"/>
          <w:color w:val="000000"/>
          <w:sz w:val="22"/>
          <w:szCs w:val="18"/>
        </w:rPr>
        <w:t>Art. 31.  A documentação relativa à qualificação econômico-financeira limitar-se-á a:</w:t>
      </w:r>
    </w:p>
    <w:p w14:paraId="53F3FC44" w14:textId="77777777" w:rsidR="00363AC8" w:rsidRPr="006E11A8" w:rsidRDefault="00363AC8" w:rsidP="00363AC8">
      <w:pPr>
        <w:pStyle w:val="NormalWeb"/>
        <w:ind w:left="2268"/>
        <w:jc w:val="both"/>
        <w:rPr>
          <w:rFonts w:asciiTheme="minorHAnsi" w:hAnsiTheme="minorHAnsi" w:cstheme="minorHAnsi"/>
          <w:color w:val="000000"/>
          <w:szCs w:val="24"/>
        </w:rPr>
      </w:pPr>
      <w:bookmarkStart w:id="3" w:name="art31i"/>
      <w:bookmarkEnd w:id="3"/>
      <w:r w:rsidRPr="006E11A8">
        <w:rPr>
          <w:rFonts w:asciiTheme="minorHAnsi" w:hAnsiTheme="minorHAnsi" w:cstheme="minorHAnsi"/>
          <w:color w:val="000000"/>
          <w:sz w:val="22"/>
          <w:szCs w:val="18"/>
        </w:rPr>
        <w:t>I - </w:t>
      </w:r>
      <w:proofErr w:type="gramStart"/>
      <w:r w:rsidRPr="006E11A8">
        <w:rPr>
          <w:rFonts w:asciiTheme="minorHAnsi" w:hAnsiTheme="minorHAnsi" w:cstheme="minorHAnsi"/>
          <w:color w:val="000000"/>
          <w:sz w:val="22"/>
          <w:szCs w:val="18"/>
        </w:rPr>
        <w:t>balanço</w:t>
      </w:r>
      <w:proofErr w:type="gramEnd"/>
      <w:r w:rsidRPr="006E11A8">
        <w:rPr>
          <w:rFonts w:asciiTheme="minorHAnsi" w:hAnsiTheme="minorHAnsi" w:cstheme="minorHAnsi"/>
          <w:color w:val="000000"/>
          <w:sz w:val="22"/>
          <w:szCs w:val="18"/>
        </w:rPr>
        <w:t xml:space="preserve"> patrimonial e demonstrações contábeis do último exercício social, já exigíveis e apresentados na forma da lei, que comprovem a boa situação financeira da empresa, vedada a sua substituição por balancetes ou balanços provisórios, podendo ser atualizados por índices oficiais quando encerrado há mais de 3 (três) meses da data de apresentação da proposta;</w:t>
      </w:r>
    </w:p>
    <w:p w14:paraId="5221A4DA" w14:textId="77777777" w:rsidR="00363AC8" w:rsidRPr="006E11A8" w:rsidRDefault="00363AC8" w:rsidP="00363AC8">
      <w:pPr>
        <w:pStyle w:val="NormalWeb"/>
        <w:ind w:left="2268"/>
        <w:jc w:val="both"/>
        <w:rPr>
          <w:rFonts w:asciiTheme="minorHAnsi" w:hAnsiTheme="minorHAnsi" w:cstheme="minorHAnsi"/>
          <w:color w:val="000000"/>
          <w:szCs w:val="24"/>
        </w:rPr>
      </w:pPr>
      <w:bookmarkStart w:id="4" w:name="art31ii"/>
      <w:bookmarkEnd w:id="4"/>
      <w:r w:rsidRPr="006E11A8">
        <w:rPr>
          <w:rFonts w:asciiTheme="minorHAnsi" w:hAnsiTheme="minorHAnsi" w:cstheme="minorHAnsi"/>
          <w:color w:val="000000"/>
          <w:sz w:val="22"/>
          <w:szCs w:val="18"/>
        </w:rPr>
        <w:t>II - </w:t>
      </w:r>
      <w:proofErr w:type="gramStart"/>
      <w:r w:rsidRPr="006E11A8">
        <w:rPr>
          <w:rFonts w:asciiTheme="minorHAnsi" w:hAnsiTheme="minorHAnsi" w:cstheme="minorHAnsi"/>
          <w:color w:val="000000"/>
          <w:sz w:val="22"/>
          <w:szCs w:val="18"/>
        </w:rPr>
        <w:t>certidão</w:t>
      </w:r>
      <w:proofErr w:type="gramEnd"/>
      <w:r w:rsidRPr="006E11A8">
        <w:rPr>
          <w:rFonts w:asciiTheme="minorHAnsi" w:hAnsiTheme="minorHAnsi" w:cstheme="minorHAnsi"/>
          <w:color w:val="000000"/>
          <w:sz w:val="22"/>
          <w:szCs w:val="18"/>
        </w:rPr>
        <w:t xml:space="preserve"> negativa de falência ou concordata expedida pelo distribuidor da sede da pessoa jurídica, ou de execução patrimonial, expedida no domicílio da pessoa física;</w:t>
      </w:r>
    </w:p>
    <w:p w14:paraId="6FBE2B77" w14:textId="77777777" w:rsidR="00363AC8" w:rsidRPr="006E11A8" w:rsidRDefault="00363AC8" w:rsidP="00363AC8">
      <w:pPr>
        <w:pStyle w:val="NormalWeb"/>
        <w:ind w:left="2268"/>
        <w:jc w:val="both"/>
        <w:rPr>
          <w:rFonts w:asciiTheme="minorHAnsi" w:hAnsiTheme="minorHAnsi" w:cstheme="minorHAnsi"/>
          <w:color w:val="000000"/>
          <w:szCs w:val="24"/>
        </w:rPr>
      </w:pPr>
      <w:bookmarkStart w:id="5" w:name="art31iii"/>
      <w:bookmarkEnd w:id="5"/>
      <w:r w:rsidRPr="006E11A8">
        <w:rPr>
          <w:rFonts w:asciiTheme="minorHAnsi" w:hAnsiTheme="minorHAnsi" w:cstheme="minorHAnsi"/>
          <w:color w:val="000000"/>
          <w:sz w:val="22"/>
          <w:szCs w:val="18"/>
        </w:rPr>
        <w:t>III - garantia, nas mesmas modalidades e critérios previstos no "caput" e § 1</w:t>
      </w:r>
      <w:r w:rsidRPr="006E11A8">
        <w:rPr>
          <w:rFonts w:asciiTheme="minorHAnsi" w:hAnsiTheme="minorHAnsi" w:cstheme="minorHAnsi"/>
          <w:color w:val="000000"/>
          <w:sz w:val="22"/>
          <w:szCs w:val="18"/>
          <w:u w:val="single"/>
          <w:vertAlign w:val="superscript"/>
        </w:rPr>
        <w:t>o</w:t>
      </w:r>
      <w:r w:rsidRPr="006E11A8">
        <w:rPr>
          <w:rFonts w:asciiTheme="minorHAnsi" w:hAnsiTheme="minorHAnsi" w:cstheme="minorHAnsi"/>
          <w:color w:val="000000"/>
          <w:sz w:val="22"/>
          <w:szCs w:val="18"/>
        </w:rPr>
        <w:t> do art. 56 desta Lei, limitada a 1% (um por cento) do valor estimado do objeto da contratação.</w:t>
      </w:r>
    </w:p>
    <w:p w14:paraId="3CF29B0B" w14:textId="77777777" w:rsidR="00363AC8" w:rsidRPr="006E11A8" w:rsidRDefault="00363AC8" w:rsidP="00363AC8">
      <w:pPr>
        <w:pStyle w:val="NormalWeb"/>
        <w:ind w:left="2268"/>
        <w:jc w:val="both"/>
        <w:rPr>
          <w:rFonts w:asciiTheme="minorHAnsi" w:hAnsiTheme="minorHAnsi" w:cstheme="minorHAnsi"/>
          <w:color w:val="000000"/>
          <w:szCs w:val="24"/>
        </w:rPr>
      </w:pPr>
      <w:bookmarkStart w:id="6" w:name="art31§1."/>
      <w:bookmarkStart w:id="7" w:name="art31§1"/>
      <w:bookmarkEnd w:id="6"/>
      <w:bookmarkEnd w:id="7"/>
      <w:r w:rsidRPr="006E11A8">
        <w:rPr>
          <w:rFonts w:asciiTheme="minorHAnsi" w:hAnsiTheme="minorHAnsi" w:cstheme="minorHAnsi"/>
          <w:color w:val="000000"/>
          <w:sz w:val="22"/>
          <w:szCs w:val="18"/>
        </w:rPr>
        <w:t>§ 1</w:t>
      </w:r>
      <w:proofErr w:type="gramStart"/>
      <w:r w:rsidRPr="006E11A8">
        <w:rPr>
          <w:rFonts w:asciiTheme="minorHAnsi" w:hAnsiTheme="minorHAnsi" w:cstheme="minorHAnsi"/>
          <w:color w:val="000000"/>
          <w:sz w:val="22"/>
          <w:szCs w:val="18"/>
          <w:u w:val="single"/>
          <w:vertAlign w:val="superscript"/>
        </w:rPr>
        <w:t>o</w:t>
      </w:r>
      <w:r w:rsidRPr="006E11A8">
        <w:rPr>
          <w:rFonts w:asciiTheme="minorHAnsi" w:hAnsiTheme="minorHAnsi" w:cstheme="minorHAnsi"/>
          <w:color w:val="000000"/>
          <w:sz w:val="22"/>
          <w:szCs w:val="18"/>
        </w:rPr>
        <w:t>  A</w:t>
      </w:r>
      <w:proofErr w:type="gramEnd"/>
      <w:r w:rsidRPr="006E11A8">
        <w:rPr>
          <w:rFonts w:asciiTheme="minorHAnsi" w:hAnsiTheme="minorHAnsi" w:cstheme="minorHAnsi"/>
          <w:color w:val="000000"/>
          <w:sz w:val="22"/>
          <w:szCs w:val="18"/>
        </w:rPr>
        <w:t xml:space="preserve"> exigência de índices limitar-se-á à demonstração da capacidade financeira do licitante com vistas aos compromissos que terá que assumir caso lhe seja adjudicado o contrato, vedada a exigência de valores mínimos de faturamento anterior, índices de rentabilidade ou lucratividade.             </w:t>
      </w:r>
      <w:hyperlink r:id="rId9" w:anchor="art1" w:history="1">
        <w:r w:rsidRPr="006E11A8">
          <w:rPr>
            <w:rStyle w:val="Hyperlink"/>
            <w:rFonts w:asciiTheme="minorHAnsi" w:hAnsiTheme="minorHAnsi" w:cstheme="minorHAnsi"/>
            <w:sz w:val="22"/>
            <w:szCs w:val="18"/>
          </w:rPr>
          <w:t>(Redação dada pela Lei nº 8.883, de 1994)</w:t>
        </w:r>
      </w:hyperlink>
    </w:p>
    <w:p w14:paraId="4232D2BB" w14:textId="77777777" w:rsidR="00363AC8" w:rsidRPr="006E11A8" w:rsidRDefault="00363AC8" w:rsidP="00363AC8">
      <w:pPr>
        <w:pStyle w:val="NormalWeb"/>
        <w:ind w:left="2268"/>
        <w:jc w:val="both"/>
        <w:rPr>
          <w:rFonts w:asciiTheme="minorHAnsi" w:hAnsiTheme="minorHAnsi" w:cstheme="minorHAnsi"/>
          <w:color w:val="000000"/>
          <w:szCs w:val="24"/>
        </w:rPr>
      </w:pPr>
      <w:bookmarkStart w:id="8" w:name="art31§2"/>
      <w:bookmarkEnd w:id="8"/>
      <w:r w:rsidRPr="006E11A8">
        <w:rPr>
          <w:rFonts w:asciiTheme="minorHAnsi" w:hAnsiTheme="minorHAnsi" w:cstheme="minorHAnsi"/>
          <w:color w:val="000000"/>
          <w:sz w:val="22"/>
          <w:szCs w:val="18"/>
        </w:rPr>
        <w:t>§ 2</w:t>
      </w:r>
      <w:proofErr w:type="gramStart"/>
      <w:r w:rsidRPr="006E11A8">
        <w:rPr>
          <w:rFonts w:asciiTheme="minorHAnsi" w:hAnsiTheme="minorHAnsi" w:cstheme="minorHAnsi"/>
          <w:color w:val="000000"/>
          <w:sz w:val="22"/>
          <w:szCs w:val="18"/>
          <w:u w:val="single"/>
          <w:vertAlign w:val="superscript"/>
        </w:rPr>
        <w:t>o</w:t>
      </w:r>
      <w:r w:rsidRPr="006E11A8">
        <w:rPr>
          <w:rFonts w:asciiTheme="minorHAnsi" w:hAnsiTheme="minorHAnsi" w:cstheme="minorHAnsi"/>
          <w:color w:val="000000"/>
          <w:sz w:val="22"/>
          <w:szCs w:val="18"/>
        </w:rPr>
        <w:t>  A</w:t>
      </w:r>
      <w:proofErr w:type="gramEnd"/>
      <w:r w:rsidRPr="006E11A8">
        <w:rPr>
          <w:rFonts w:asciiTheme="minorHAnsi" w:hAnsiTheme="minorHAnsi" w:cstheme="minorHAnsi"/>
          <w:color w:val="000000"/>
          <w:sz w:val="22"/>
          <w:szCs w:val="18"/>
        </w:rPr>
        <w:t xml:space="preserve"> Administração, nas compras para entrega futura e na execução de obras e serviços, poderá estabelecer, no instrumento convocatório da licitação, a exigência de capital mínimo ou de patrimônio líquido mínimo, ou ainda as garantias previstas no § 1</w:t>
      </w:r>
      <w:r w:rsidRPr="006E11A8">
        <w:rPr>
          <w:rFonts w:asciiTheme="minorHAnsi" w:hAnsiTheme="minorHAnsi" w:cstheme="minorHAnsi"/>
          <w:color w:val="000000"/>
          <w:sz w:val="22"/>
          <w:szCs w:val="18"/>
          <w:u w:val="single"/>
          <w:vertAlign w:val="superscript"/>
        </w:rPr>
        <w:t>o</w:t>
      </w:r>
      <w:r w:rsidRPr="006E11A8">
        <w:rPr>
          <w:rFonts w:asciiTheme="minorHAnsi" w:hAnsiTheme="minorHAnsi" w:cstheme="minorHAnsi"/>
          <w:color w:val="000000"/>
          <w:sz w:val="22"/>
          <w:szCs w:val="18"/>
        </w:rPr>
        <w:t> do art. 56 desta Lei, como dado objetivo de comprovação da qualificação econômico-financeira dos licitantes e para efeito de garantia ao adimplemento do contrato a ser ulteriormente celebrado.</w:t>
      </w:r>
    </w:p>
    <w:p w14:paraId="32CB32B1" w14:textId="77777777" w:rsidR="00363AC8" w:rsidRPr="006E11A8" w:rsidRDefault="00363AC8" w:rsidP="00363AC8">
      <w:pPr>
        <w:pStyle w:val="NormalWeb"/>
        <w:ind w:left="2268"/>
        <w:jc w:val="both"/>
        <w:rPr>
          <w:rFonts w:asciiTheme="minorHAnsi" w:hAnsiTheme="minorHAnsi" w:cstheme="minorHAnsi"/>
          <w:color w:val="000000"/>
          <w:szCs w:val="24"/>
        </w:rPr>
      </w:pPr>
      <w:bookmarkStart w:id="9" w:name="art31§3"/>
      <w:bookmarkEnd w:id="9"/>
      <w:r w:rsidRPr="006E11A8">
        <w:rPr>
          <w:rFonts w:asciiTheme="minorHAnsi" w:hAnsiTheme="minorHAnsi" w:cstheme="minorHAnsi"/>
          <w:color w:val="000000"/>
          <w:sz w:val="22"/>
          <w:szCs w:val="18"/>
        </w:rPr>
        <w:t>§ 3</w:t>
      </w:r>
      <w:proofErr w:type="gramStart"/>
      <w:r w:rsidRPr="006E11A8">
        <w:rPr>
          <w:rFonts w:asciiTheme="minorHAnsi" w:hAnsiTheme="minorHAnsi" w:cstheme="minorHAnsi"/>
          <w:color w:val="000000"/>
          <w:sz w:val="22"/>
          <w:szCs w:val="18"/>
          <w:u w:val="single"/>
          <w:vertAlign w:val="superscript"/>
        </w:rPr>
        <w:t>o</w:t>
      </w:r>
      <w:r w:rsidRPr="006E11A8">
        <w:rPr>
          <w:rFonts w:asciiTheme="minorHAnsi" w:hAnsiTheme="minorHAnsi" w:cstheme="minorHAnsi"/>
          <w:color w:val="000000"/>
          <w:sz w:val="22"/>
          <w:szCs w:val="18"/>
        </w:rPr>
        <w:t>  O</w:t>
      </w:r>
      <w:proofErr w:type="gramEnd"/>
      <w:r w:rsidRPr="006E11A8">
        <w:rPr>
          <w:rFonts w:asciiTheme="minorHAnsi" w:hAnsiTheme="minorHAnsi" w:cstheme="minorHAnsi"/>
          <w:color w:val="000000"/>
          <w:sz w:val="22"/>
          <w:szCs w:val="18"/>
        </w:rPr>
        <w:t xml:space="preserve"> capital mínimo ou o valor do patrimônio líquido a que se refere o parágrafo anterior não poderá exceder a 10% (dez por cento) do valor estimado da contratação, devendo a comprovação ser feita relativamente à data da apresentação da proposta, na forma da lei, admitida a atualização para esta data através de índices oficiais.</w:t>
      </w:r>
    </w:p>
    <w:p w14:paraId="38647336" w14:textId="77777777" w:rsidR="00363AC8" w:rsidRPr="006E11A8" w:rsidRDefault="00363AC8" w:rsidP="00363AC8">
      <w:pPr>
        <w:pStyle w:val="NormalWeb"/>
        <w:ind w:left="2268"/>
        <w:jc w:val="both"/>
        <w:rPr>
          <w:rFonts w:asciiTheme="minorHAnsi" w:hAnsiTheme="minorHAnsi" w:cstheme="minorHAnsi"/>
          <w:color w:val="000000"/>
          <w:szCs w:val="24"/>
        </w:rPr>
      </w:pPr>
      <w:bookmarkStart w:id="10" w:name="art31§4"/>
      <w:bookmarkEnd w:id="10"/>
      <w:r w:rsidRPr="006E11A8">
        <w:rPr>
          <w:rFonts w:asciiTheme="minorHAnsi" w:hAnsiTheme="minorHAnsi" w:cstheme="minorHAnsi"/>
          <w:color w:val="000000"/>
          <w:sz w:val="22"/>
          <w:szCs w:val="18"/>
        </w:rPr>
        <w:t>§ 4</w:t>
      </w:r>
      <w:proofErr w:type="gramStart"/>
      <w:r w:rsidRPr="006E11A8">
        <w:rPr>
          <w:rFonts w:asciiTheme="minorHAnsi" w:hAnsiTheme="minorHAnsi" w:cstheme="minorHAnsi"/>
          <w:color w:val="000000"/>
          <w:sz w:val="22"/>
          <w:szCs w:val="18"/>
          <w:u w:val="single"/>
          <w:vertAlign w:val="superscript"/>
        </w:rPr>
        <w:t>o</w:t>
      </w:r>
      <w:r w:rsidRPr="006E11A8">
        <w:rPr>
          <w:rFonts w:asciiTheme="minorHAnsi" w:hAnsiTheme="minorHAnsi" w:cstheme="minorHAnsi"/>
          <w:color w:val="000000"/>
          <w:sz w:val="22"/>
          <w:szCs w:val="18"/>
        </w:rPr>
        <w:t>  Poderá</w:t>
      </w:r>
      <w:proofErr w:type="gramEnd"/>
      <w:r w:rsidRPr="006E11A8">
        <w:rPr>
          <w:rFonts w:asciiTheme="minorHAnsi" w:hAnsiTheme="minorHAnsi" w:cstheme="minorHAnsi"/>
          <w:color w:val="000000"/>
          <w:sz w:val="22"/>
          <w:szCs w:val="18"/>
        </w:rPr>
        <w:t xml:space="preserve"> ser exigida, ainda, a relação dos compromissos assumidos pelo licitante que importem diminuição da capacidade operativa ou absorção de disponibilidade financeira, calculada </w:t>
      </w:r>
      <w:proofErr w:type="spellStart"/>
      <w:r w:rsidRPr="006E11A8">
        <w:rPr>
          <w:rFonts w:asciiTheme="minorHAnsi" w:hAnsiTheme="minorHAnsi" w:cstheme="minorHAnsi"/>
          <w:color w:val="000000"/>
          <w:sz w:val="22"/>
          <w:szCs w:val="18"/>
        </w:rPr>
        <w:t>esta</w:t>
      </w:r>
      <w:proofErr w:type="spellEnd"/>
      <w:r w:rsidRPr="006E11A8">
        <w:rPr>
          <w:rFonts w:asciiTheme="minorHAnsi" w:hAnsiTheme="minorHAnsi" w:cstheme="minorHAnsi"/>
          <w:color w:val="000000"/>
          <w:sz w:val="22"/>
          <w:szCs w:val="18"/>
        </w:rPr>
        <w:t xml:space="preserve"> em função do patrimônio líquido atualizado e sua capacidade de rotação.</w:t>
      </w:r>
    </w:p>
    <w:p w14:paraId="0DE47A2E" w14:textId="4CBFDA52" w:rsidR="00363AC8" w:rsidRPr="006E11A8" w:rsidRDefault="00363AC8" w:rsidP="00363AC8">
      <w:pPr>
        <w:pStyle w:val="NormalWeb"/>
        <w:ind w:left="2268"/>
        <w:jc w:val="both"/>
        <w:rPr>
          <w:rFonts w:asciiTheme="minorHAnsi" w:hAnsiTheme="minorHAnsi" w:cstheme="minorHAnsi"/>
          <w:color w:val="000000"/>
          <w:szCs w:val="24"/>
        </w:rPr>
      </w:pPr>
      <w:bookmarkStart w:id="11" w:name="art31§5."/>
      <w:bookmarkStart w:id="12" w:name="art31§5"/>
      <w:bookmarkEnd w:id="11"/>
      <w:bookmarkEnd w:id="12"/>
      <w:r w:rsidRPr="006E11A8">
        <w:rPr>
          <w:rFonts w:asciiTheme="minorHAnsi" w:hAnsiTheme="minorHAnsi" w:cstheme="minorHAnsi"/>
          <w:color w:val="000000"/>
          <w:sz w:val="22"/>
          <w:szCs w:val="18"/>
        </w:rPr>
        <w:t>§ 5</w:t>
      </w:r>
      <w:proofErr w:type="gramStart"/>
      <w:r w:rsidRPr="006E11A8">
        <w:rPr>
          <w:rFonts w:asciiTheme="minorHAnsi" w:hAnsiTheme="minorHAnsi" w:cstheme="minorHAnsi"/>
          <w:color w:val="000000"/>
          <w:sz w:val="22"/>
          <w:szCs w:val="18"/>
          <w:u w:val="single"/>
          <w:vertAlign w:val="superscript"/>
        </w:rPr>
        <w:t>o</w:t>
      </w:r>
      <w:r w:rsidRPr="006E11A8">
        <w:rPr>
          <w:rFonts w:asciiTheme="minorHAnsi" w:hAnsiTheme="minorHAnsi" w:cstheme="minorHAnsi"/>
          <w:color w:val="000000"/>
          <w:sz w:val="22"/>
          <w:szCs w:val="18"/>
        </w:rPr>
        <w:t>  A</w:t>
      </w:r>
      <w:proofErr w:type="gramEnd"/>
      <w:r w:rsidRPr="006E11A8">
        <w:rPr>
          <w:rFonts w:asciiTheme="minorHAnsi" w:hAnsiTheme="minorHAnsi" w:cstheme="minorHAnsi"/>
          <w:color w:val="000000"/>
          <w:sz w:val="22"/>
          <w:szCs w:val="18"/>
        </w:rPr>
        <w:t xml:space="preserve"> comprovação de boa situação financeira da empresa será feita de forma objetiva, através do cálculo de índices contábeis previstos no edital e devidamente justificados no processo administrativo da licitação que tenha dado início ao certame licitatório, vedada a exigência de índices e valores não usualmente adotados para correta avaliação de situação financeira suficiente ao cumprimento das obrigações decorrentes da licitação.     </w:t>
      </w:r>
    </w:p>
    <w:p w14:paraId="0DE9F530" w14:textId="20470903" w:rsidR="00D26A3F" w:rsidRPr="006E11A8" w:rsidRDefault="00363AC8" w:rsidP="00363AC8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>O objetivo, portanto, é prevenir a Administração Pública para que empresas aventureiras e sem quaisquer responsabilidades ou respaldo financeiro, pudessem vir a participar e vencer o certame e, durante a execução da obrigação contratada, não apresentassem capacidade para concluir o objeto da obrigação.</w:t>
      </w:r>
    </w:p>
    <w:p w14:paraId="0BC7EE96" w14:textId="77777777" w:rsidR="00EC0CC6" w:rsidRPr="006E11A8" w:rsidRDefault="009A4ADC" w:rsidP="00EC0CC6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Nesse sentido, desde que devidamente justificado, </w:t>
      </w:r>
      <w:r w:rsidRPr="006E11A8">
        <w:rPr>
          <w:rFonts w:asciiTheme="minorHAnsi" w:hAnsiTheme="minorHAnsi" w:cstheme="minorHAnsi"/>
          <w:b/>
          <w:bCs/>
          <w:sz w:val="24"/>
          <w:szCs w:val="24"/>
        </w:rPr>
        <w:t>a Administração pode exigir a comprovação de índices contábeis mínimos como critério de avaliação da capacidade financeira do licitante</w:t>
      </w:r>
      <w:r w:rsidRPr="006E11A8">
        <w:rPr>
          <w:rFonts w:asciiTheme="minorHAnsi" w:hAnsiTheme="minorHAnsi" w:cstheme="minorHAnsi"/>
          <w:sz w:val="24"/>
          <w:szCs w:val="24"/>
        </w:rPr>
        <w:t>. Todavia, não pode exigir valores mínimos de faturamento anteriores à adjudicação, bem como índices rentabilidade ou lucratividade, nos termos do art. 31 §§1º e 5º da Lei nº 8.666/93, acima transcritos.</w:t>
      </w:r>
    </w:p>
    <w:p w14:paraId="482ECEB6" w14:textId="6B3DB927" w:rsidR="00EC0CC6" w:rsidRPr="006E11A8" w:rsidRDefault="00EC0CC6" w:rsidP="00EC0CC6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>Tendo em vista que diferentes índices contábeis podem ser calculados a partir de informações extraídas do Balanço Patrimonial (Índice de Liquidez Geral – ILG, de Liquidez Corrente – ILC, de Liquidez Seca – ILS e de Liquidez Imediata – ILM) e que cada objeto possui suas especificidades, optou o legislador pelo não-estabelecimento de critério rígido de aferição da idoneidade financeira dos licitantes para assumir as responsabilidades do contrato.</w:t>
      </w:r>
    </w:p>
    <w:p w14:paraId="78A7A2EF" w14:textId="68725A87" w:rsidR="00823F13" w:rsidRPr="006E11A8" w:rsidRDefault="00823F13" w:rsidP="00823F13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A </w:t>
      </w:r>
      <w:r w:rsidR="005663C4" w:rsidRPr="006E11A8">
        <w:rPr>
          <w:rFonts w:asciiTheme="minorHAnsi" w:hAnsiTheme="minorHAnsi" w:cstheme="minorHAnsi"/>
          <w:sz w:val="24"/>
          <w:szCs w:val="24"/>
        </w:rPr>
        <w:t>L</w:t>
      </w:r>
      <w:r w:rsidRPr="006E11A8">
        <w:rPr>
          <w:rFonts w:asciiTheme="minorHAnsi" w:hAnsiTheme="minorHAnsi" w:cstheme="minorHAnsi"/>
          <w:sz w:val="24"/>
          <w:szCs w:val="24"/>
        </w:rPr>
        <w:t>ei nº 8.666/93 concedeu ao gestor público a possibi</w:t>
      </w:r>
      <w:r w:rsidR="00E87958" w:rsidRPr="006E11A8">
        <w:rPr>
          <w:rFonts w:asciiTheme="minorHAnsi" w:hAnsiTheme="minorHAnsi" w:cstheme="minorHAnsi"/>
          <w:sz w:val="24"/>
          <w:szCs w:val="24"/>
        </w:rPr>
        <w:t xml:space="preserve">lidade de eleger, caso a caso, </w:t>
      </w:r>
      <w:r w:rsidRPr="006E11A8">
        <w:rPr>
          <w:rFonts w:asciiTheme="minorHAnsi" w:hAnsiTheme="minorHAnsi" w:cstheme="minorHAnsi"/>
          <w:sz w:val="24"/>
          <w:szCs w:val="24"/>
        </w:rPr>
        <w:t>os índices mais adequados à contratação. No entanto, conforme estabelecido na Súmula nº 289 do TCU, a seguir transcrita, a exigência dos índices contábeis escolhidos somente se legitimará se houver justificativa no processo de licitação:</w:t>
      </w:r>
    </w:p>
    <w:p w14:paraId="2C051CE7" w14:textId="230771E3" w:rsidR="00823F13" w:rsidRPr="006E11A8" w:rsidRDefault="00823F13" w:rsidP="00823F13">
      <w:pPr>
        <w:spacing w:before="24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11A8">
        <w:rPr>
          <w:rFonts w:asciiTheme="minorHAnsi" w:hAnsiTheme="minorHAnsi" w:cstheme="minorHAnsi"/>
          <w:i/>
          <w:iCs/>
          <w:sz w:val="22"/>
          <w:szCs w:val="22"/>
        </w:rPr>
        <w:t xml:space="preserve">“A exigência de índices contábeis de capacidade financeira, a exemplo dos de liquidez, deve estar justificada no processo da licitação, conter parâmetros atualizados de mercado e atender às características do objeto licitado, sendo vedado o uso de índice cuja fórmula inclua rentabilidade ou </w:t>
      </w:r>
      <w:proofErr w:type="gramStart"/>
      <w:r w:rsidRPr="006E11A8">
        <w:rPr>
          <w:rFonts w:asciiTheme="minorHAnsi" w:hAnsiTheme="minorHAnsi" w:cstheme="minorHAnsi"/>
          <w:i/>
          <w:iCs/>
          <w:sz w:val="22"/>
          <w:szCs w:val="22"/>
        </w:rPr>
        <w:t>lucratividade.”</w:t>
      </w:r>
      <w:proofErr w:type="gramEnd"/>
    </w:p>
    <w:p w14:paraId="67E5B983" w14:textId="3A7C766E" w:rsidR="001C2CD0" w:rsidRPr="006E11A8" w:rsidRDefault="0074316F" w:rsidP="0074316F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ab/>
      </w:r>
      <w:r w:rsidRPr="006E11A8">
        <w:rPr>
          <w:rFonts w:asciiTheme="minorHAnsi" w:hAnsiTheme="minorHAnsi" w:cstheme="minorHAnsi"/>
          <w:sz w:val="24"/>
          <w:szCs w:val="24"/>
        </w:rPr>
        <w:tab/>
        <w:t xml:space="preserve">Diante desse cenário, e considerando o vulto da contratação pretendida, </w:t>
      </w:r>
      <w:r w:rsidR="004B4761" w:rsidRPr="006E11A8">
        <w:rPr>
          <w:rFonts w:asciiTheme="minorHAnsi" w:hAnsiTheme="minorHAnsi" w:cstheme="minorHAnsi"/>
          <w:sz w:val="24"/>
          <w:szCs w:val="24"/>
        </w:rPr>
        <w:t>cujo valor ultrapassa os R$54.000.000,00 (cinquenta e quatro milhões de reais)</w:t>
      </w:r>
      <w:r w:rsidR="00017D35" w:rsidRPr="006E11A8">
        <w:rPr>
          <w:rFonts w:asciiTheme="minorHAnsi" w:hAnsiTheme="minorHAnsi" w:cstheme="minorHAnsi"/>
          <w:sz w:val="24"/>
          <w:szCs w:val="24"/>
        </w:rPr>
        <w:t>, a Administração Pública municipal</w:t>
      </w:r>
      <w:r w:rsidR="00356079" w:rsidRPr="006E11A8">
        <w:rPr>
          <w:rFonts w:asciiTheme="minorHAnsi" w:hAnsiTheme="minorHAnsi" w:cstheme="minorHAnsi"/>
          <w:sz w:val="24"/>
          <w:szCs w:val="24"/>
        </w:rPr>
        <w:t>, após regular procedimento administrativo licitatório</w:t>
      </w:r>
      <w:r w:rsidR="00356079" w:rsidRPr="006E11A8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356079" w:rsidRPr="006E11A8">
        <w:rPr>
          <w:rFonts w:asciiTheme="minorHAnsi" w:hAnsiTheme="minorHAnsi" w:cstheme="minorHAnsi"/>
          <w:sz w:val="24"/>
          <w:szCs w:val="24"/>
        </w:rPr>
        <w:t xml:space="preserve">, </w:t>
      </w:r>
      <w:r w:rsidR="00017D35" w:rsidRPr="006E11A8">
        <w:rPr>
          <w:rFonts w:asciiTheme="minorHAnsi" w:hAnsiTheme="minorHAnsi" w:cstheme="minorHAnsi"/>
          <w:sz w:val="24"/>
          <w:szCs w:val="24"/>
        </w:rPr>
        <w:t>optou</w:t>
      </w:r>
      <w:r w:rsidR="00356079" w:rsidRPr="006E11A8">
        <w:rPr>
          <w:rFonts w:asciiTheme="minorHAnsi" w:hAnsiTheme="minorHAnsi" w:cstheme="minorHAnsi"/>
          <w:sz w:val="24"/>
          <w:szCs w:val="24"/>
        </w:rPr>
        <w:t xml:space="preserve"> </w:t>
      </w:r>
      <w:r w:rsidR="00017D35" w:rsidRPr="006E11A8">
        <w:rPr>
          <w:rFonts w:asciiTheme="minorHAnsi" w:hAnsiTheme="minorHAnsi" w:cstheme="minorHAnsi"/>
          <w:sz w:val="24"/>
          <w:szCs w:val="24"/>
        </w:rPr>
        <w:t xml:space="preserve">por exigir dos licitantes a comprovação de que dispõem dos índices econômico-financeiros mínimos previstos no instrumento convocatório. </w:t>
      </w:r>
    </w:p>
    <w:p w14:paraId="54E55DC3" w14:textId="66F21683" w:rsidR="00F35AE1" w:rsidRPr="006E11A8" w:rsidRDefault="00F35AE1" w:rsidP="0074316F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ab/>
      </w:r>
      <w:r w:rsidRPr="006E11A8">
        <w:rPr>
          <w:rFonts w:asciiTheme="minorHAnsi" w:hAnsiTheme="minorHAnsi" w:cstheme="minorHAnsi"/>
          <w:sz w:val="24"/>
          <w:szCs w:val="24"/>
        </w:rPr>
        <w:tab/>
      </w:r>
      <w:r w:rsidR="00356079" w:rsidRPr="006E11A8">
        <w:rPr>
          <w:rFonts w:asciiTheme="minorHAnsi" w:hAnsiTheme="minorHAnsi" w:cstheme="minorHAnsi"/>
          <w:sz w:val="24"/>
          <w:szCs w:val="24"/>
        </w:rPr>
        <w:t xml:space="preserve"> </w:t>
      </w:r>
      <w:r w:rsidR="00673FAB" w:rsidRPr="006E11A8">
        <w:rPr>
          <w:rFonts w:asciiTheme="minorHAnsi" w:hAnsiTheme="minorHAnsi" w:cstheme="minorHAnsi"/>
          <w:sz w:val="24"/>
          <w:szCs w:val="24"/>
        </w:rPr>
        <w:t>Isso porque, ao contrário do alegado pelo impugnante, os altos valores dos 3 (três) contratos a serem firmados exigem ainda maior cautela da municipalidade na análise da qualificação econômico-financeira dos licitantes,</w:t>
      </w:r>
      <w:r w:rsidR="005470EB" w:rsidRPr="006E11A8">
        <w:rPr>
          <w:rFonts w:asciiTheme="minorHAnsi" w:hAnsiTheme="minorHAnsi" w:cstheme="minorHAnsi"/>
          <w:sz w:val="24"/>
          <w:szCs w:val="24"/>
        </w:rPr>
        <w:t xml:space="preserve"> indispensáveis à garantia do cumprimento das obrigações,</w:t>
      </w:r>
      <w:r w:rsidR="00673FAB" w:rsidRPr="006E11A8">
        <w:rPr>
          <w:rFonts w:asciiTheme="minorHAnsi" w:hAnsiTheme="minorHAnsi" w:cstheme="minorHAnsi"/>
          <w:sz w:val="24"/>
          <w:szCs w:val="24"/>
        </w:rPr>
        <w:t xml:space="preserve"> considerando-se o risco da presente contratação. </w:t>
      </w:r>
    </w:p>
    <w:p w14:paraId="47FD270A" w14:textId="50FECC24" w:rsidR="00673FAB" w:rsidRPr="006E11A8" w:rsidRDefault="00673FAB" w:rsidP="0074316F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ab/>
      </w:r>
      <w:r w:rsidRPr="006E11A8">
        <w:rPr>
          <w:rFonts w:asciiTheme="minorHAnsi" w:hAnsiTheme="minorHAnsi" w:cstheme="minorHAnsi"/>
          <w:sz w:val="24"/>
          <w:szCs w:val="24"/>
        </w:rPr>
        <w:tab/>
        <w:t xml:space="preserve">Por essa razão, </w:t>
      </w:r>
      <w:r w:rsidR="005663C4" w:rsidRPr="006E11A8">
        <w:rPr>
          <w:rFonts w:asciiTheme="minorHAnsi" w:hAnsiTheme="minorHAnsi" w:cstheme="minorHAnsi"/>
          <w:sz w:val="24"/>
          <w:szCs w:val="24"/>
        </w:rPr>
        <w:t>exigiu</w:t>
      </w:r>
      <w:r w:rsidRPr="006E11A8">
        <w:rPr>
          <w:rFonts w:asciiTheme="minorHAnsi" w:hAnsiTheme="minorHAnsi" w:cstheme="minorHAnsi"/>
          <w:sz w:val="24"/>
          <w:szCs w:val="24"/>
        </w:rPr>
        <w:t>-se a apresentação dos índices ILG, ILC, ILS e ILM, já comu</w:t>
      </w:r>
      <w:r w:rsidR="00BB66EF" w:rsidRPr="006E11A8">
        <w:rPr>
          <w:rFonts w:asciiTheme="minorHAnsi" w:hAnsiTheme="minorHAnsi" w:cstheme="minorHAnsi"/>
          <w:sz w:val="24"/>
          <w:szCs w:val="24"/>
        </w:rPr>
        <w:t>mente exigidos na praxe administrativa</w:t>
      </w:r>
      <w:r w:rsidR="005470EB" w:rsidRPr="006E11A8">
        <w:rPr>
          <w:rFonts w:asciiTheme="minorHAnsi" w:hAnsiTheme="minorHAnsi" w:cstheme="minorHAnsi"/>
          <w:sz w:val="24"/>
          <w:szCs w:val="24"/>
        </w:rPr>
        <w:t xml:space="preserve"> </w:t>
      </w:r>
      <w:r w:rsidR="004D7B45" w:rsidRPr="006E11A8">
        <w:rPr>
          <w:rFonts w:asciiTheme="minorHAnsi" w:hAnsiTheme="minorHAnsi" w:cstheme="minorHAnsi"/>
          <w:sz w:val="24"/>
          <w:szCs w:val="24"/>
        </w:rPr>
        <w:t xml:space="preserve">como </w:t>
      </w:r>
      <w:r w:rsidR="006C1C3E" w:rsidRPr="006E11A8">
        <w:rPr>
          <w:rFonts w:asciiTheme="minorHAnsi" w:hAnsiTheme="minorHAnsi" w:cstheme="minorHAnsi"/>
          <w:sz w:val="24"/>
          <w:szCs w:val="24"/>
        </w:rPr>
        <w:t xml:space="preserve">parâmetros </w:t>
      </w:r>
      <w:r w:rsidR="004D7B45" w:rsidRPr="006E11A8">
        <w:rPr>
          <w:rFonts w:asciiTheme="minorHAnsi" w:hAnsiTheme="minorHAnsi" w:cstheme="minorHAnsi"/>
          <w:sz w:val="24"/>
          <w:szCs w:val="24"/>
        </w:rPr>
        <w:t xml:space="preserve">indicativos da </w:t>
      </w:r>
      <w:r w:rsidR="006C1C3E" w:rsidRPr="006E11A8">
        <w:rPr>
          <w:rFonts w:asciiTheme="minorHAnsi" w:hAnsiTheme="minorHAnsi" w:cstheme="minorHAnsi"/>
          <w:sz w:val="24"/>
          <w:szCs w:val="24"/>
        </w:rPr>
        <w:t xml:space="preserve">saúde financeira atual da empresa licitante </w:t>
      </w:r>
      <w:r w:rsidR="005470EB" w:rsidRPr="006E11A8">
        <w:rPr>
          <w:rFonts w:asciiTheme="minorHAnsi" w:hAnsiTheme="minorHAnsi" w:cstheme="minorHAnsi"/>
          <w:sz w:val="24"/>
          <w:szCs w:val="24"/>
        </w:rPr>
        <w:t xml:space="preserve">e que atendem à razoabilidade e à proporcionalidade com o objeto a ser atingido. </w:t>
      </w:r>
    </w:p>
    <w:p w14:paraId="024A3F25" w14:textId="58CBE102" w:rsidR="001C2CD0" w:rsidRPr="006E11A8" w:rsidRDefault="00BB66EF" w:rsidP="001C2CD0">
      <w:pPr>
        <w:spacing w:before="24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>Nesse sentido, s</w:t>
      </w:r>
      <w:r w:rsidR="001C2CD0" w:rsidRPr="006E11A8">
        <w:rPr>
          <w:rFonts w:asciiTheme="minorHAnsi" w:hAnsiTheme="minorHAnsi" w:cstheme="minorHAnsi"/>
          <w:sz w:val="24"/>
          <w:szCs w:val="24"/>
        </w:rPr>
        <w:t>egundo recente acórdão do Plenário do TCU (nº 724/2021), “</w:t>
      </w:r>
      <w:r w:rsidR="001C2CD0" w:rsidRPr="006E11A8">
        <w:rPr>
          <w:rFonts w:asciiTheme="minorHAnsi" w:hAnsiTheme="minorHAnsi" w:cstheme="minorHAnsi"/>
          <w:i/>
          <w:iCs/>
          <w:sz w:val="24"/>
          <w:szCs w:val="24"/>
        </w:rPr>
        <w:t>há que se considerar que os índices adotados no edital em questão (exigência de que a licitante não obtivesse resultado menor ou igual a um em qualquer dos índices de Liquidez Geral, Solvência Geral e Liquidez Corrente), são amplamente adotados há bastante tempo</w:t>
      </w:r>
      <w:r w:rsidR="001C2CD0" w:rsidRPr="006E11A8">
        <w:rPr>
          <w:rFonts w:asciiTheme="minorHAnsi" w:hAnsiTheme="minorHAnsi" w:cstheme="minorHAnsi"/>
          <w:sz w:val="24"/>
          <w:szCs w:val="24"/>
        </w:rPr>
        <w:t xml:space="preserve">” (Acórdãos </w:t>
      </w:r>
      <w:r w:rsidR="001C2CD0" w:rsidRPr="006E11A8">
        <w:rPr>
          <w:rFonts w:asciiTheme="minorHAnsi" w:hAnsiTheme="minorHAnsi" w:cstheme="minorHAnsi"/>
          <w:color w:val="000000"/>
          <w:sz w:val="24"/>
          <w:szCs w:val="24"/>
        </w:rPr>
        <w:t xml:space="preserve">1.898/2006 Plenário, 170/2007, </w:t>
      </w:r>
      <w:r w:rsidR="001C2CD0" w:rsidRPr="006E11A8">
        <w:rPr>
          <w:rFonts w:asciiTheme="minorHAnsi" w:hAnsiTheme="minorHAnsi" w:cstheme="minorHAnsi"/>
          <w:sz w:val="24"/>
          <w:szCs w:val="24"/>
        </w:rPr>
        <w:t>1214/2013- Plenário</w:t>
      </w:r>
      <w:r w:rsidR="00F35AE1" w:rsidRPr="006E11A8">
        <w:rPr>
          <w:rFonts w:asciiTheme="minorHAnsi" w:hAnsiTheme="minorHAnsi" w:cstheme="minorHAnsi"/>
          <w:sz w:val="24"/>
          <w:szCs w:val="24"/>
        </w:rPr>
        <w:t>).</w:t>
      </w:r>
    </w:p>
    <w:p w14:paraId="2083DC13" w14:textId="4D014E79" w:rsidR="004D7B45" w:rsidRPr="006E11A8" w:rsidRDefault="004D7B45" w:rsidP="001C2CD0">
      <w:pPr>
        <w:spacing w:before="240"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O TCE-MG, citando a jurisprudência do TCU, </w:t>
      </w:r>
      <w:r w:rsidR="00765865" w:rsidRPr="006E11A8">
        <w:rPr>
          <w:rFonts w:asciiTheme="minorHAnsi" w:hAnsiTheme="minorHAnsi" w:cstheme="minorHAnsi"/>
          <w:sz w:val="24"/>
          <w:szCs w:val="24"/>
        </w:rPr>
        <w:t>assim decidiu:</w:t>
      </w:r>
    </w:p>
    <w:p w14:paraId="0233CF92" w14:textId="0092F205" w:rsidR="00823F13" w:rsidRPr="006E11A8" w:rsidRDefault="00EC126D" w:rsidP="006807E6">
      <w:pPr>
        <w:spacing w:before="24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6E11A8">
        <w:rPr>
          <w:rFonts w:asciiTheme="minorHAnsi" w:hAnsiTheme="minorHAnsi" w:cstheme="minorHAnsi"/>
          <w:sz w:val="22"/>
          <w:szCs w:val="22"/>
        </w:rPr>
        <w:t xml:space="preserve">(...) 5. </w:t>
      </w:r>
      <w:proofErr w:type="gramStart"/>
      <w:r w:rsidR="00765865" w:rsidRPr="006E11A8">
        <w:rPr>
          <w:rFonts w:asciiTheme="minorHAnsi" w:hAnsiTheme="minorHAnsi" w:cstheme="minorHAnsi"/>
          <w:b/>
          <w:bCs/>
          <w:sz w:val="22"/>
          <w:szCs w:val="22"/>
          <w:u w:val="single"/>
        </w:rPr>
        <w:t>CABE À</w:t>
      </w:r>
      <w:proofErr w:type="gramEnd"/>
      <w:r w:rsidR="00765865" w:rsidRPr="006E11A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ADMINISTRAÇÃO PÚBLICA, AO ANALISAR O CORRESPONDENTE MERCADO E AS CARACTERÍSTICAS DO OBJETO A SER CONTRATADO, FAZER A OPÇÃO PELO ÍNDICE E PELO VALOR CONSIDERADO MAIS ADEQUADO PARA A CORRETA AVALIAÇÃO DA SITUAÇÃO FINANCEIRA DA FUTURA CONTRATADA, NO QUE FOR NECESSÁRIO AO CUMPRIMENTO DAS OBRIGAÇÕES DECORRENTES, APRESENTANDO AS JUSTIFICATIVAS PARA O ÍNDICE ADOTADO NOS AUTOS DO PROCESSO LICITATÓRIO. (ACÓRDÃO 2135/2013 DO TCU- PLENÁRIO)</w:t>
      </w:r>
      <w:r w:rsidRPr="006E11A8">
        <w:rPr>
          <w:rFonts w:asciiTheme="minorHAnsi" w:hAnsiTheme="minorHAnsi" w:cstheme="minorHAnsi"/>
          <w:sz w:val="22"/>
          <w:szCs w:val="22"/>
        </w:rPr>
        <w:t xml:space="preserve"> (...)” (TCE/MG DEN 951349, 20/09/2017)</w:t>
      </w:r>
    </w:p>
    <w:p w14:paraId="205B5E32" w14:textId="50C20A3C" w:rsidR="006807E6" w:rsidRPr="006E11A8" w:rsidRDefault="006807E6" w:rsidP="0010386F">
      <w:pPr>
        <w:spacing w:before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ED8B02F" w14:textId="77777777" w:rsidR="00451F34" w:rsidRPr="006E11A8" w:rsidRDefault="0010386F" w:rsidP="00451F34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ab/>
      </w:r>
      <w:r w:rsidRPr="006E11A8">
        <w:rPr>
          <w:rFonts w:asciiTheme="minorHAnsi" w:hAnsiTheme="minorHAnsi" w:cstheme="minorHAnsi"/>
          <w:sz w:val="24"/>
          <w:szCs w:val="24"/>
        </w:rPr>
        <w:tab/>
        <w:t xml:space="preserve">Não havendo irregularidade na exigência de apresentação de índices mínimos, passemos à análise do pedido do licitante </w:t>
      </w:r>
      <w:r w:rsidR="00451F34" w:rsidRPr="006E11A8">
        <w:rPr>
          <w:rFonts w:asciiTheme="minorHAnsi" w:hAnsiTheme="minorHAnsi" w:cstheme="minorHAnsi"/>
          <w:sz w:val="24"/>
          <w:szCs w:val="24"/>
        </w:rPr>
        <w:t xml:space="preserve">para que o edital preveja a possibilidade de mais de apresentação de mais de uma forma de comprovação de qualificação econômico-financeira </w:t>
      </w:r>
      <w:r w:rsidR="00451F34" w:rsidRPr="006E11A8">
        <w:rPr>
          <w:rFonts w:asciiTheme="minorHAnsi" w:hAnsiTheme="minorHAnsi" w:cstheme="minorHAnsi"/>
          <w:sz w:val="24"/>
          <w:szCs w:val="24"/>
          <w:u w:val="single"/>
        </w:rPr>
        <w:t>de modo alternativo</w:t>
      </w:r>
      <w:r w:rsidR="00451F34" w:rsidRPr="006E11A8">
        <w:rPr>
          <w:rFonts w:asciiTheme="minorHAnsi" w:hAnsiTheme="minorHAnsi" w:cstheme="minorHAnsi"/>
          <w:sz w:val="24"/>
          <w:szCs w:val="24"/>
        </w:rPr>
        <w:t>.</w:t>
      </w:r>
    </w:p>
    <w:p w14:paraId="7AE5FAD2" w14:textId="6CBD4A73" w:rsidR="006807E6" w:rsidRPr="006E11A8" w:rsidRDefault="00451F34" w:rsidP="00451F34">
      <w:pPr>
        <w:spacing w:before="240" w:line="360" w:lineRule="auto"/>
        <w:ind w:firstLine="113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E11A8">
        <w:rPr>
          <w:rFonts w:asciiTheme="minorHAnsi" w:hAnsiTheme="minorHAnsi" w:cstheme="minorHAnsi"/>
          <w:i/>
          <w:iCs/>
          <w:sz w:val="24"/>
          <w:szCs w:val="24"/>
        </w:rPr>
        <w:t xml:space="preserve">In </w:t>
      </w:r>
      <w:proofErr w:type="spellStart"/>
      <w:r w:rsidRPr="006E11A8">
        <w:rPr>
          <w:rFonts w:asciiTheme="minorHAnsi" w:hAnsiTheme="minorHAnsi" w:cstheme="minorHAnsi"/>
          <w:i/>
          <w:iCs/>
          <w:sz w:val="24"/>
          <w:szCs w:val="24"/>
        </w:rPr>
        <w:t>casu</w:t>
      </w:r>
      <w:proofErr w:type="spellEnd"/>
      <w:r w:rsidRPr="006E11A8">
        <w:rPr>
          <w:rFonts w:asciiTheme="minorHAnsi" w:hAnsiTheme="minorHAnsi" w:cstheme="minorHAnsi"/>
          <w:sz w:val="24"/>
          <w:szCs w:val="24"/>
        </w:rPr>
        <w:t>, o</w:t>
      </w:r>
      <w:r w:rsidR="006807E6" w:rsidRPr="006E11A8">
        <w:rPr>
          <w:rFonts w:asciiTheme="minorHAnsi" w:hAnsiTheme="minorHAnsi" w:cstheme="minorHAnsi"/>
          <w:sz w:val="24"/>
          <w:szCs w:val="24"/>
        </w:rPr>
        <w:t xml:space="preserve"> item</w:t>
      </w:r>
      <w:r w:rsidRPr="006E11A8">
        <w:rPr>
          <w:rFonts w:asciiTheme="minorHAnsi" w:hAnsiTheme="minorHAnsi" w:cstheme="minorHAnsi"/>
          <w:sz w:val="24"/>
          <w:szCs w:val="24"/>
        </w:rPr>
        <w:t xml:space="preserve"> </w:t>
      </w:r>
      <w:r w:rsidR="006807E6" w:rsidRPr="006E11A8">
        <w:rPr>
          <w:rFonts w:asciiTheme="minorHAnsi" w:hAnsiTheme="minorHAnsi" w:cstheme="minorHAnsi"/>
          <w:bCs/>
          <w:iCs/>
          <w:sz w:val="24"/>
          <w:szCs w:val="24"/>
        </w:rPr>
        <w:t>12.5.4</w:t>
      </w:r>
      <w:r w:rsidR="006807E6" w:rsidRPr="006E11A8">
        <w:rPr>
          <w:rFonts w:asciiTheme="minorHAnsi" w:hAnsiTheme="minorHAnsi" w:cstheme="minorHAnsi"/>
          <w:iCs/>
          <w:sz w:val="24"/>
          <w:szCs w:val="24"/>
        </w:rPr>
        <w:t xml:space="preserve"> exige </w:t>
      </w:r>
      <w:r w:rsidRPr="006E11A8">
        <w:rPr>
          <w:rFonts w:asciiTheme="minorHAnsi" w:hAnsiTheme="minorHAnsi" w:cstheme="minorHAnsi"/>
          <w:iCs/>
          <w:sz w:val="24"/>
          <w:szCs w:val="24"/>
        </w:rPr>
        <w:t>a “</w:t>
      </w:r>
      <w:r w:rsidRPr="006E11A8">
        <w:rPr>
          <w:rFonts w:asciiTheme="minorHAnsi" w:hAnsiTheme="minorHAnsi" w:cstheme="minorHAnsi"/>
          <w:i/>
          <w:sz w:val="24"/>
          <w:szCs w:val="24"/>
        </w:rPr>
        <w:t>c</w:t>
      </w:r>
      <w:r w:rsidR="006807E6" w:rsidRPr="006E11A8">
        <w:rPr>
          <w:rFonts w:asciiTheme="minorHAnsi" w:hAnsiTheme="minorHAnsi" w:cstheme="minorHAnsi"/>
          <w:i/>
          <w:sz w:val="24"/>
          <w:szCs w:val="24"/>
        </w:rPr>
        <w:t xml:space="preserve">omprovação de ser dotado de patrimônio líquido mínimo igual ou superior ao correspondente ao percentual de 10% (dez inteiros por cento) do valor máximo estimado para a </w:t>
      </w:r>
      <w:proofErr w:type="gramStart"/>
      <w:r w:rsidR="006807E6" w:rsidRPr="006E11A8">
        <w:rPr>
          <w:rFonts w:asciiTheme="minorHAnsi" w:hAnsiTheme="minorHAnsi" w:cstheme="minorHAnsi"/>
          <w:i/>
          <w:sz w:val="24"/>
          <w:szCs w:val="24"/>
        </w:rPr>
        <w:t>contratação</w:t>
      </w:r>
      <w:r w:rsidR="006807E6" w:rsidRPr="006E11A8">
        <w:rPr>
          <w:rFonts w:asciiTheme="minorHAnsi" w:hAnsiTheme="minorHAnsi" w:cstheme="minorHAnsi"/>
          <w:iCs/>
          <w:sz w:val="24"/>
          <w:szCs w:val="24"/>
        </w:rPr>
        <w:t>.</w:t>
      </w:r>
      <w:r w:rsidRPr="006E11A8">
        <w:rPr>
          <w:rFonts w:asciiTheme="minorHAnsi" w:hAnsiTheme="minorHAnsi" w:cstheme="minorHAnsi"/>
          <w:iCs/>
          <w:sz w:val="24"/>
          <w:szCs w:val="24"/>
        </w:rPr>
        <w:t>”</w:t>
      </w:r>
      <w:proofErr w:type="gramEnd"/>
      <w:r w:rsidR="006807E6" w:rsidRPr="006E11A8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34DE1776" w14:textId="61467827" w:rsidR="003F65AA" w:rsidRPr="006E11A8" w:rsidRDefault="003F65AA" w:rsidP="00451F34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E11A8">
        <w:rPr>
          <w:rFonts w:asciiTheme="minorHAnsi" w:hAnsiTheme="minorHAnsi" w:cstheme="minorHAnsi"/>
          <w:iCs/>
          <w:sz w:val="24"/>
          <w:szCs w:val="24"/>
        </w:rPr>
        <w:t>Sobre essa alternatividade, a Súmula 275 do T</w:t>
      </w:r>
      <w:r w:rsidR="006204C5" w:rsidRPr="006E11A8">
        <w:rPr>
          <w:rFonts w:asciiTheme="minorHAnsi" w:hAnsiTheme="minorHAnsi" w:cstheme="minorHAnsi"/>
          <w:iCs/>
          <w:sz w:val="24"/>
          <w:szCs w:val="24"/>
        </w:rPr>
        <w:t xml:space="preserve">ribunal de </w:t>
      </w:r>
      <w:r w:rsidRPr="006E11A8">
        <w:rPr>
          <w:rFonts w:asciiTheme="minorHAnsi" w:hAnsiTheme="minorHAnsi" w:cstheme="minorHAnsi"/>
          <w:iCs/>
          <w:sz w:val="24"/>
          <w:szCs w:val="24"/>
        </w:rPr>
        <w:t>C</w:t>
      </w:r>
      <w:r w:rsidR="006204C5" w:rsidRPr="006E11A8">
        <w:rPr>
          <w:rFonts w:asciiTheme="minorHAnsi" w:hAnsiTheme="minorHAnsi" w:cstheme="minorHAnsi"/>
          <w:iCs/>
          <w:sz w:val="24"/>
          <w:szCs w:val="24"/>
        </w:rPr>
        <w:t xml:space="preserve">ontas da </w:t>
      </w:r>
      <w:r w:rsidRPr="006E11A8">
        <w:rPr>
          <w:rFonts w:asciiTheme="minorHAnsi" w:hAnsiTheme="minorHAnsi" w:cstheme="minorHAnsi"/>
          <w:iCs/>
          <w:sz w:val="24"/>
          <w:szCs w:val="24"/>
        </w:rPr>
        <w:t>U</w:t>
      </w:r>
      <w:r w:rsidR="006204C5" w:rsidRPr="006E11A8">
        <w:rPr>
          <w:rFonts w:asciiTheme="minorHAnsi" w:hAnsiTheme="minorHAnsi" w:cstheme="minorHAnsi"/>
          <w:iCs/>
          <w:sz w:val="24"/>
          <w:szCs w:val="24"/>
        </w:rPr>
        <w:t>nião</w:t>
      </w:r>
      <w:r w:rsidRPr="006E11A8">
        <w:rPr>
          <w:rFonts w:asciiTheme="minorHAnsi" w:hAnsiTheme="minorHAnsi" w:cstheme="minorHAnsi"/>
          <w:iCs/>
          <w:sz w:val="24"/>
          <w:szCs w:val="24"/>
        </w:rPr>
        <w:t xml:space="preserve"> dispõe que “</w:t>
      </w:r>
      <w:r w:rsidRPr="006E11A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Para fins de qualificação econômico-financeira, a Administração pode exigir das licitantes, </w:t>
      </w:r>
      <w:r w:rsidRPr="006E11A8">
        <w:rPr>
          <w:rFonts w:asciiTheme="minorHAnsi" w:hAnsiTheme="minorHAnsi" w:cstheme="minorHAnsi"/>
          <w:i/>
          <w:iCs/>
          <w:sz w:val="24"/>
          <w:szCs w:val="24"/>
          <w:u w:val="single"/>
          <w:shd w:val="clear" w:color="auto" w:fill="FFFFFF"/>
        </w:rPr>
        <w:t>de forma não cumulativa</w:t>
      </w:r>
      <w:r w:rsidRPr="006E11A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, capital social mínimo, patrimônio líquido mínimo ou garantias que assegurem o adimplemento do contrato a ser celebrado, no caso de compras para entrega futura e de execução de obras e </w:t>
      </w:r>
      <w:proofErr w:type="gramStart"/>
      <w:r w:rsidRPr="006E11A8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serviços</w:t>
      </w:r>
      <w:r w:rsidRPr="006E11A8">
        <w:rPr>
          <w:rFonts w:asciiTheme="minorHAnsi" w:hAnsiTheme="minorHAnsi" w:cstheme="minorHAnsi"/>
          <w:sz w:val="24"/>
          <w:szCs w:val="24"/>
          <w:shd w:val="clear" w:color="auto" w:fill="FFFFFF"/>
        </w:rPr>
        <w:t>.”</w:t>
      </w:r>
      <w:proofErr w:type="gramEnd"/>
    </w:p>
    <w:p w14:paraId="55B65A95" w14:textId="6FBB0FBA" w:rsidR="00A33300" w:rsidRPr="006E11A8" w:rsidRDefault="00A33300" w:rsidP="00451F34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  <w:shd w:val="clear" w:color="auto" w:fill="FFFFFF"/>
        </w:rPr>
        <w:t>No Acórdão 1321/2020</w:t>
      </w:r>
      <w:r w:rsidR="006204C5" w:rsidRPr="006E11A8">
        <w:rPr>
          <w:rFonts w:asciiTheme="minorHAnsi" w:hAnsiTheme="minorHAnsi" w:cstheme="minorHAnsi"/>
          <w:sz w:val="24"/>
          <w:szCs w:val="24"/>
          <w:shd w:val="clear" w:color="auto" w:fill="FFFFFF"/>
        </w:rPr>
        <w:t>-</w:t>
      </w:r>
      <w:r w:rsidRPr="006E11A8">
        <w:rPr>
          <w:rFonts w:asciiTheme="minorHAnsi" w:hAnsiTheme="minorHAnsi" w:cstheme="minorHAnsi"/>
          <w:sz w:val="24"/>
          <w:szCs w:val="24"/>
          <w:shd w:val="clear" w:color="auto" w:fill="FFFFFF"/>
        </w:rPr>
        <w:t>Plenário, o Tribunal também concedeu a possibilidade de apresentação de patrimônio líquido como alternativa aos licitantes que não alcançar</w:t>
      </w:r>
      <w:r w:rsidR="006204C5" w:rsidRPr="006E11A8">
        <w:rPr>
          <w:rFonts w:asciiTheme="minorHAnsi" w:hAnsiTheme="minorHAnsi" w:cstheme="minorHAnsi"/>
          <w:sz w:val="24"/>
          <w:szCs w:val="24"/>
          <w:shd w:val="clear" w:color="auto" w:fill="FFFFFF"/>
        </w:rPr>
        <w:t>em</w:t>
      </w:r>
      <w:r w:rsidRPr="006E11A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os índices</w:t>
      </w:r>
      <w:r w:rsidR="006204C5" w:rsidRPr="006E11A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contábeis</w:t>
      </w:r>
      <w:r w:rsidRPr="006E11A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exigidos no edital de licitação. </w:t>
      </w:r>
    </w:p>
    <w:p w14:paraId="5F1D1CC8" w14:textId="0FBE8000" w:rsidR="006807E6" w:rsidRPr="006E11A8" w:rsidRDefault="003F65AA" w:rsidP="00363AC8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Dessa forma, em observância ao entendimento consolidado da Corte de Contas, a impugnação deve ser parcialmente acolhida, para que </w:t>
      </w:r>
      <w:r w:rsidR="00663557" w:rsidRPr="006E11A8">
        <w:rPr>
          <w:rFonts w:asciiTheme="minorHAnsi" w:hAnsiTheme="minorHAnsi" w:cstheme="minorHAnsi"/>
          <w:sz w:val="24"/>
          <w:szCs w:val="24"/>
        </w:rPr>
        <w:t xml:space="preserve">o </w:t>
      </w:r>
      <w:r w:rsidRPr="006E11A8">
        <w:rPr>
          <w:rFonts w:asciiTheme="minorHAnsi" w:hAnsiTheme="minorHAnsi" w:cstheme="minorHAnsi"/>
          <w:sz w:val="24"/>
          <w:szCs w:val="24"/>
        </w:rPr>
        <w:t xml:space="preserve">item 12.5.4 </w:t>
      </w:r>
      <w:r w:rsidR="00663557" w:rsidRPr="006E11A8">
        <w:rPr>
          <w:rFonts w:asciiTheme="minorHAnsi" w:hAnsiTheme="minorHAnsi" w:cstheme="minorHAnsi"/>
          <w:sz w:val="24"/>
          <w:szCs w:val="24"/>
        </w:rPr>
        <w:t xml:space="preserve">(comprovação de patrimônio líquido mínimo de 10%) seja exigido de forma alternativa aos licitantes que </w:t>
      </w:r>
      <w:r w:rsidR="00A33300" w:rsidRPr="006E11A8">
        <w:rPr>
          <w:rFonts w:asciiTheme="minorHAnsi" w:hAnsiTheme="minorHAnsi" w:cstheme="minorHAnsi"/>
          <w:sz w:val="24"/>
          <w:szCs w:val="24"/>
        </w:rPr>
        <w:t>não alcançarem os índices</w:t>
      </w:r>
      <w:r w:rsidR="00663557" w:rsidRPr="006E11A8">
        <w:rPr>
          <w:rFonts w:asciiTheme="minorHAnsi" w:hAnsiTheme="minorHAnsi" w:cstheme="minorHAnsi"/>
          <w:sz w:val="24"/>
          <w:szCs w:val="24"/>
        </w:rPr>
        <w:t xml:space="preserve"> </w:t>
      </w:r>
      <w:r w:rsidR="00A33300" w:rsidRPr="006E11A8">
        <w:rPr>
          <w:rFonts w:asciiTheme="minorHAnsi" w:hAnsiTheme="minorHAnsi" w:cstheme="minorHAnsi"/>
          <w:sz w:val="24"/>
          <w:szCs w:val="24"/>
        </w:rPr>
        <w:t xml:space="preserve">previstos no item </w:t>
      </w:r>
      <w:r w:rsidRPr="006E11A8">
        <w:rPr>
          <w:rFonts w:asciiTheme="minorHAnsi" w:hAnsiTheme="minorHAnsi" w:cstheme="minorHAnsi"/>
          <w:sz w:val="24"/>
          <w:szCs w:val="24"/>
        </w:rPr>
        <w:t>12.5.2.2</w:t>
      </w:r>
      <w:r w:rsidR="00A33300" w:rsidRPr="006E11A8">
        <w:rPr>
          <w:rFonts w:asciiTheme="minorHAnsi" w:hAnsiTheme="minorHAnsi" w:cstheme="minorHAnsi"/>
          <w:sz w:val="24"/>
          <w:szCs w:val="24"/>
        </w:rPr>
        <w:t>, ambos do instrumento convocatório.</w:t>
      </w:r>
    </w:p>
    <w:p w14:paraId="1EB05A7F" w14:textId="106F0A47" w:rsidR="00F435B4" w:rsidRPr="006E11A8" w:rsidRDefault="00484EBA" w:rsidP="00363AC8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Quanto </w:t>
      </w:r>
      <w:r w:rsidR="00674577" w:rsidRPr="006E11A8">
        <w:rPr>
          <w:rFonts w:asciiTheme="minorHAnsi" w:hAnsiTheme="minorHAnsi" w:cstheme="minorHAnsi"/>
          <w:sz w:val="24"/>
          <w:szCs w:val="24"/>
        </w:rPr>
        <w:t xml:space="preserve">ao </w:t>
      </w:r>
      <w:r w:rsidRPr="006E11A8">
        <w:rPr>
          <w:rFonts w:asciiTheme="minorHAnsi" w:hAnsiTheme="minorHAnsi" w:cstheme="minorHAnsi"/>
          <w:sz w:val="24"/>
          <w:szCs w:val="24"/>
        </w:rPr>
        <w:t xml:space="preserve">pedido alternativo </w:t>
      </w:r>
      <w:r w:rsidR="00A90F9B" w:rsidRPr="006E11A8">
        <w:rPr>
          <w:rFonts w:asciiTheme="minorHAnsi" w:hAnsiTheme="minorHAnsi" w:cstheme="minorHAnsi"/>
          <w:sz w:val="24"/>
          <w:szCs w:val="24"/>
        </w:rPr>
        <w:t xml:space="preserve">feito pelo impugnante </w:t>
      </w:r>
      <w:r w:rsidRPr="006E11A8">
        <w:rPr>
          <w:rFonts w:asciiTheme="minorHAnsi" w:hAnsiTheme="minorHAnsi" w:cstheme="minorHAnsi"/>
          <w:sz w:val="24"/>
          <w:szCs w:val="24"/>
        </w:rPr>
        <w:t>de exigência apenas d</w:t>
      </w:r>
      <w:r w:rsidR="00765865" w:rsidRPr="006E11A8">
        <w:rPr>
          <w:rFonts w:asciiTheme="minorHAnsi" w:hAnsiTheme="minorHAnsi" w:cstheme="minorHAnsi"/>
          <w:sz w:val="24"/>
          <w:szCs w:val="24"/>
        </w:rPr>
        <w:t>a</w:t>
      </w:r>
      <w:r w:rsidRPr="006E11A8">
        <w:rPr>
          <w:rFonts w:asciiTheme="minorHAnsi" w:hAnsiTheme="minorHAnsi" w:cstheme="minorHAnsi"/>
          <w:sz w:val="24"/>
          <w:szCs w:val="24"/>
        </w:rPr>
        <w:t xml:space="preserve"> garantia</w:t>
      </w:r>
      <w:r w:rsidR="00765865" w:rsidRPr="006E11A8">
        <w:rPr>
          <w:rFonts w:asciiTheme="minorHAnsi" w:hAnsiTheme="minorHAnsi" w:cstheme="minorHAnsi"/>
          <w:sz w:val="24"/>
          <w:szCs w:val="24"/>
        </w:rPr>
        <w:t xml:space="preserve"> contratual</w:t>
      </w:r>
      <w:r w:rsidRPr="006E11A8">
        <w:rPr>
          <w:rFonts w:asciiTheme="minorHAnsi" w:hAnsiTheme="minorHAnsi" w:cstheme="minorHAnsi"/>
          <w:sz w:val="24"/>
          <w:szCs w:val="24"/>
        </w:rPr>
        <w:t xml:space="preserve">, </w:t>
      </w:r>
      <w:r w:rsidR="00F435B4" w:rsidRPr="006E11A8">
        <w:rPr>
          <w:rFonts w:asciiTheme="minorHAnsi" w:hAnsiTheme="minorHAnsi" w:cstheme="minorHAnsi"/>
          <w:sz w:val="24"/>
          <w:szCs w:val="24"/>
        </w:rPr>
        <w:t xml:space="preserve">transcrevemos o didático trecho do no voto no Acórdão 710/2018 do Plenário do TCU, que se aplica </w:t>
      </w:r>
      <w:r w:rsidR="00A90F9B" w:rsidRPr="006E11A8">
        <w:rPr>
          <w:rFonts w:asciiTheme="minorHAnsi" w:hAnsiTheme="minorHAnsi" w:cstheme="minorHAnsi"/>
          <w:sz w:val="24"/>
          <w:szCs w:val="24"/>
        </w:rPr>
        <w:t>ao presente caso:</w:t>
      </w:r>
    </w:p>
    <w:p w14:paraId="68B6F630" w14:textId="77777777" w:rsidR="00F435B4" w:rsidRPr="006E11A8" w:rsidRDefault="00F435B4" w:rsidP="00F435B4">
      <w:pPr>
        <w:spacing w:before="24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6E11A8">
        <w:rPr>
          <w:rFonts w:asciiTheme="minorHAnsi" w:hAnsiTheme="minorHAnsi" w:cstheme="minorHAnsi"/>
          <w:sz w:val="22"/>
          <w:szCs w:val="22"/>
        </w:rPr>
        <w:t xml:space="preserve">Sobre a exigência cumulativa de capital social mínimo e de garantia da proposta, verifico que, em verdade, o respondente demonstra confusão entre os dois tipos de garantia previstos na Lei 8.666/1993: a garantia de participação e a garantia de execução. De fato, o art. 31, §2º, da citada lei veicula as possíveis exigências para qualificação econômico-financeira no certame, e que não podem ser cumuladas quais sejam: capital mínimo, patrimônio líquido mínimo ou prestação de garantias. Já os </w:t>
      </w:r>
      <w:proofErr w:type="spellStart"/>
      <w:r w:rsidRPr="006E11A8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6E11A8">
        <w:rPr>
          <w:rFonts w:asciiTheme="minorHAnsi" w:hAnsiTheme="minorHAnsi" w:cstheme="minorHAnsi"/>
          <w:sz w:val="22"/>
          <w:szCs w:val="22"/>
        </w:rPr>
        <w:t xml:space="preserve">. 55, inciso VI, e 56 do mesmo diploma tratam da </w:t>
      </w:r>
      <w:r w:rsidRPr="006E11A8">
        <w:rPr>
          <w:rFonts w:asciiTheme="minorHAnsi" w:hAnsiTheme="minorHAnsi" w:cstheme="minorHAnsi"/>
          <w:b/>
          <w:bCs/>
          <w:sz w:val="22"/>
          <w:szCs w:val="22"/>
        </w:rPr>
        <w:t>possibilidade de exigência de prestação de garantias para a execução do contrato, que nenhuma relação guarda com a apresentação de garantia de participação, mesmo porque os objetivos dessas garantias são distintos, vez que uma se destina a comprovar a capacidade financeira para adimplir a contrato futuro, e outra se destina a assegurar a entrega do que já está contratado</w:t>
      </w:r>
      <w:r w:rsidRPr="006E11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E0F7617" w14:textId="77777777" w:rsidR="00F435B4" w:rsidRPr="006E11A8" w:rsidRDefault="00F435B4" w:rsidP="00F435B4">
      <w:pPr>
        <w:spacing w:before="240"/>
        <w:ind w:left="2268"/>
        <w:jc w:val="both"/>
        <w:rPr>
          <w:rFonts w:asciiTheme="minorHAnsi" w:hAnsiTheme="minorHAnsi" w:cstheme="minorHAnsi"/>
          <w:sz w:val="22"/>
          <w:szCs w:val="22"/>
        </w:rPr>
      </w:pPr>
      <w:r w:rsidRPr="006E11A8">
        <w:rPr>
          <w:rFonts w:asciiTheme="minorHAnsi" w:hAnsiTheme="minorHAnsi" w:cstheme="minorHAnsi"/>
          <w:sz w:val="22"/>
          <w:szCs w:val="22"/>
        </w:rPr>
        <w:t>Note-se que a própria disciplina dessas garantias é distinta. Enquanto o art. 31, inciso III, dispõe que a garantia de participação se limita a 1% do valor estimado do objeto da contratação, o art. 56, § 2º, assevera que a garantia de execução não excederá 5% do valor do contrato.</w:t>
      </w:r>
    </w:p>
    <w:p w14:paraId="38708C99" w14:textId="77777777" w:rsidR="00E87958" w:rsidRPr="006E11A8" w:rsidRDefault="00E87958" w:rsidP="00363AC8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</w:p>
    <w:p w14:paraId="43E334F4" w14:textId="43E161C5" w:rsidR="00363AC8" w:rsidRPr="006E11A8" w:rsidRDefault="00A90F9B" w:rsidP="00363AC8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>O</w:t>
      </w:r>
      <w:r w:rsidR="00484EBA" w:rsidRPr="006E11A8">
        <w:rPr>
          <w:rFonts w:asciiTheme="minorHAnsi" w:hAnsiTheme="minorHAnsi" w:cstheme="minorHAnsi"/>
          <w:sz w:val="24"/>
          <w:szCs w:val="24"/>
        </w:rPr>
        <w:t xml:space="preserve"> Tribunal de Contas do Estado do Rio de Janeiro </w:t>
      </w:r>
      <w:r w:rsidR="00765865" w:rsidRPr="006E11A8">
        <w:rPr>
          <w:rFonts w:asciiTheme="minorHAnsi" w:hAnsiTheme="minorHAnsi" w:cstheme="minorHAnsi"/>
          <w:sz w:val="24"/>
          <w:szCs w:val="24"/>
        </w:rPr>
        <w:t xml:space="preserve">recentemente </w:t>
      </w:r>
      <w:r w:rsidR="00484EBA" w:rsidRPr="006E11A8">
        <w:rPr>
          <w:rFonts w:asciiTheme="minorHAnsi" w:hAnsiTheme="minorHAnsi" w:cstheme="minorHAnsi"/>
          <w:sz w:val="24"/>
          <w:szCs w:val="24"/>
        </w:rPr>
        <w:t>decidiu que</w:t>
      </w:r>
      <w:r w:rsidR="00765865" w:rsidRPr="006E11A8">
        <w:rPr>
          <w:rFonts w:asciiTheme="minorHAnsi" w:hAnsiTheme="minorHAnsi" w:cstheme="minorHAnsi"/>
          <w:sz w:val="24"/>
          <w:szCs w:val="24"/>
        </w:rPr>
        <w:t xml:space="preserve"> pela regularidade d</w:t>
      </w:r>
      <w:r w:rsidRPr="006E11A8">
        <w:rPr>
          <w:rFonts w:asciiTheme="minorHAnsi" w:hAnsiTheme="minorHAnsi" w:cstheme="minorHAnsi"/>
          <w:sz w:val="24"/>
          <w:szCs w:val="24"/>
        </w:rPr>
        <w:t xml:space="preserve">a exigência simultânea de garantia </w:t>
      </w:r>
      <w:proofErr w:type="spellStart"/>
      <w:r w:rsidRPr="006E11A8">
        <w:rPr>
          <w:rFonts w:asciiTheme="minorHAnsi" w:hAnsiTheme="minorHAnsi" w:cstheme="minorHAnsi"/>
          <w:sz w:val="24"/>
          <w:szCs w:val="24"/>
        </w:rPr>
        <w:t>garantual</w:t>
      </w:r>
      <w:proofErr w:type="spellEnd"/>
      <w:r w:rsidRPr="006E11A8">
        <w:rPr>
          <w:rFonts w:asciiTheme="minorHAnsi" w:hAnsiTheme="minorHAnsi" w:cstheme="minorHAnsi"/>
          <w:sz w:val="24"/>
          <w:szCs w:val="24"/>
        </w:rPr>
        <w:t xml:space="preserve"> e de comprovação de qualificação econômico-financeira dos licitantes</w:t>
      </w:r>
      <w:r w:rsidR="00765865" w:rsidRPr="006E11A8">
        <w:rPr>
          <w:rFonts w:asciiTheme="minorHAnsi" w:hAnsiTheme="minorHAnsi" w:cstheme="minorHAnsi"/>
          <w:sz w:val="24"/>
          <w:szCs w:val="24"/>
        </w:rPr>
        <w:t>, nos termos da seguinte ementa:</w:t>
      </w:r>
    </w:p>
    <w:p w14:paraId="744B456D" w14:textId="77777777" w:rsidR="003F33F1" w:rsidRPr="006E11A8" w:rsidRDefault="003F33F1" w:rsidP="001C1041">
      <w:pPr>
        <w:spacing w:before="24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11A8">
        <w:rPr>
          <w:rFonts w:asciiTheme="minorHAnsi" w:hAnsiTheme="minorHAnsi" w:cstheme="minorHAnsi"/>
          <w:i/>
          <w:iCs/>
          <w:sz w:val="22"/>
          <w:szCs w:val="22"/>
        </w:rPr>
        <w:t>“REPRESENTAÇÃO. GARANTIA DE EXECUÇÃO CONTRATUAL. QUALIFICAÇÃO ECONÔMICO-FINANCEIRA. EXIGÊNCIA SIMULTÂNEA. POSSIBILIDADE.</w:t>
      </w:r>
    </w:p>
    <w:p w14:paraId="1FBC3544" w14:textId="0D830DCF" w:rsidR="003F33F1" w:rsidRPr="006E11A8" w:rsidRDefault="003F33F1" w:rsidP="001C1041">
      <w:pPr>
        <w:spacing w:before="240"/>
        <w:ind w:left="226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E11A8">
        <w:rPr>
          <w:rFonts w:asciiTheme="minorHAnsi" w:hAnsiTheme="minorHAnsi" w:cstheme="minorHAnsi"/>
          <w:i/>
          <w:iCs/>
          <w:sz w:val="22"/>
          <w:szCs w:val="22"/>
        </w:rPr>
        <w:t xml:space="preserve">Não há irregularidade na exigência simultânea de garantia de execução contratual, exigida apenas da empresa contratada, com qualquer outra exigência para fins de </w:t>
      </w:r>
      <w:bookmarkStart w:id="13" w:name="_Hlk74130553"/>
      <w:r w:rsidRPr="006E11A8">
        <w:rPr>
          <w:rFonts w:asciiTheme="minorHAnsi" w:hAnsiTheme="minorHAnsi" w:cstheme="minorHAnsi"/>
          <w:i/>
          <w:iCs/>
          <w:sz w:val="22"/>
          <w:szCs w:val="22"/>
        </w:rPr>
        <w:t>qualificação econômico-financeira</w:t>
      </w:r>
      <w:bookmarkEnd w:id="13"/>
      <w:r w:rsidRPr="006E11A8">
        <w:rPr>
          <w:rFonts w:asciiTheme="minorHAnsi" w:hAnsiTheme="minorHAnsi" w:cstheme="minorHAnsi"/>
          <w:i/>
          <w:iCs/>
          <w:sz w:val="22"/>
          <w:szCs w:val="22"/>
        </w:rPr>
        <w:t xml:space="preserve">, exigida de todas as licitantes, diferenciando-se a garantia contratual em relação à garantia de </w:t>
      </w:r>
      <w:proofErr w:type="gramStart"/>
      <w:r w:rsidRPr="006E11A8">
        <w:rPr>
          <w:rFonts w:asciiTheme="minorHAnsi" w:hAnsiTheme="minorHAnsi" w:cstheme="minorHAnsi"/>
          <w:i/>
          <w:iCs/>
          <w:sz w:val="22"/>
          <w:szCs w:val="22"/>
        </w:rPr>
        <w:t>proposta.”</w:t>
      </w:r>
      <w:proofErr w:type="gramEnd"/>
      <w:r w:rsidRPr="006E11A8">
        <w:rPr>
          <w:rFonts w:asciiTheme="minorHAnsi" w:hAnsiTheme="minorHAnsi" w:cstheme="minorHAnsi"/>
          <w:i/>
          <w:iCs/>
          <w:sz w:val="22"/>
          <w:szCs w:val="22"/>
        </w:rPr>
        <w:t xml:space="preserve"> (Processo TCE-RJ nº 241.477-9/19. Relator: Conselheiro Rodrigo Melo do Nascimento. Plenária </w:t>
      </w:r>
      <w:proofErr w:type="spellStart"/>
      <w:r w:rsidRPr="006E11A8">
        <w:rPr>
          <w:rFonts w:asciiTheme="minorHAnsi" w:hAnsiTheme="minorHAnsi" w:cstheme="minorHAnsi"/>
          <w:i/>
          <w:iCs/>
          <w:sz w:val="22"/>
          <w:szCs w:val="22"/>
        </w:rPr>
        <w:t>Telepresencial</w:t>
      </w:r>
      <w:proofErr w:type="spellEnd"/>
      <w:r w:rsidRPr="006E11A8">
        <w:rPr>
          <w:rFonts w:asciiTheme="minorHAnsi" w:hAnsiTheme="minorHAnsi" w:cstheme="minorHAnsi"/>
          <w:i/>
          <w:iCs/>
          <w:sz w:val="22"/>
          <w:szCs w:val="22"/>
        </w:rPr>
        <w:t>: 29/04/2020)</w:t>
      </w:r>
    </w:p>
    <w:p w14:paraId="77B5683B" w14:textId="1A73490F" w:rsidR="003F33F1" w:rsidRPr="006E11A8" w:rsidRDefault="003F33F1" w:rsidP="00E67BEE">
      <w:pPr>
        <w:spacing w:before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2E2C895" w14:textId="38CE5449" w:rsidR="00A90F9B" w:rsidRPr="006E11A8" w:rsidRDefault="00A90F9B" w:rsidP="00DE0290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 xml:space="preserve">No presente caso, </w:t>
      </w:r>
      <w:proofErr w:type="gramStart"/>
      <w:r w:rsidRPr="006E11A8">
        <w:rPr>
          <w:rFonts w:asciiTheme="minorHAnsi" w:hAnsiTheme="minorHAnsi" w:cstheme="minorHAnsi"/>
          <w:sz w:val="24"/>
          <w:szCs w:val="24"/>
        </w:rPr>
        <w:t>as exigências de comprovação da qualificação econômico-financeira dos licitantes está</w:t>
      </w:r>
      <w:proofErr w:type="gramEnd"/>
      <w:r w:rsidRPr="006E11A8">
        <w:rPr>
          <w:rFonts w:asciiTheme="minorHAnsi" w:hAnsiTheme="minorHAnsi" w:cstheme="minorHAnsi"/>
          <w:sz w:val="24"/>
          <w:szCs w:val="24"/>
        </w:rPr>
        <w:t xml:space="preserve"> no item 12 do instrumento convocatório, enquanto que a previsão de prestação de garantia contratual consta da </w:t>
      </w:r>
      <w:r w:rsidR="00F20243" w:rsidRPr="006E11A8">
        <w:rPr>
          <w:rFonts w:asciiTheme="minorHAnsi" w:hAnsiTheme="minorHAnsi" w:cstheme="minorHAnsi"/>
          <w:sz w:val="24"/>
          <w:szCs w:val="24"/>
        </w:rPr>
        <w:t xml:space="preserve">cláusula décima da </w:t>
      </w:r>
      <w:r w:rsidRPr="006E11A8">
        <w:rPr>
          <w:rFonts w:asciiTheme="minorHAnsi" w:hAnsiTheme="minorHAnsi" w:cstheme="minorHAnsi"/>
          <w:sz w:val="24"/>
          <w:szCs w:val="24"/>
        </w:rPr>
        <w:t>minuta do contrato a ser celebrado com a empresa vencedora</w:t>
      </w:r>
      <w:r w:rsidR="00F20243" w:rsidRPr="006E11A8">
        <w:rPr>
          <w:rFonts w:asciiTheme="minorHAnsi" w:hAnsiTheme="minorHAnsi" w:cstheme="minorHAnsi"/>
          <w:sz w:val="24"/>
          <w:szCs w:val="24"/>
        </w:rPr>
        <w:t>, após a homologação do certame. São, portanto, exigências de natureza distintas, não havendo, dessa forma, qualquer irregularidade a ser sanada.</w:t>
      </w:r>
    </w:p>
    <w:p w14:paraId="4612783E" w14:textId="2CF6DC1F" w:rsidR="00674577" w:rsidRPr="006E11A8" w:rsidRDefault="00F20243" w:rsidP="00DE0290">
      <w:pPr>
        <w:spacing w:before="240"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>Entretanto</w:t>
      </w:r>
      <w:r w:rsidR="00674577" w:rsidRPr="006E11A8">
        <w:rPr>
          <w:rFonts w:asciiTheme="minorHAnsi" w:hAnsiTheme="minorHAnsi" w:cstheme="minorHAnsi"/>
          <w:sz w:val="24"/>
          <w:szCs w:val="24"/>
        </w:rPr>
        <w:t>,</w:t>
      </w:r>
      <w:r w:rsidRPr="006E11A8">
        <w:rPr>
          <w:rFonts w:asciiTheme="minorHAnsi" w:hAnsiTheme="minorHAnsi" w:cstheme="minorHAnsi"/>
          <w:sz w:val="24"/>
          <w:szCs w:val="24"/>
        </w:rPr>
        <w:t xml:space="preserve"> em nome da autotutela administrativa, e</w:t>
      </w:r>
      <w:r w:rsidR="00674577" w:rsidRPr="006E11A8">
        <w:rPr>
          <w:rFonts w:asciiTheme="minorHAnsi" w:hAnsiTheme="minorHAnsi" w:cstheme="minorHAnsi"/>
          <w:sz w:val="24"/>
          <w:szCs w:val="24"/>
        </w:rPr>
        <w:t xml:space="preserve"> para</w:t>
      </w:r>
      <w:r w:rsidRPr="006E11A8">
        <w:rPr>
          <w:rFonts w:asciiTheme="minorHAnsi" w:hAnsiTheme="minorHAnsi" w:cstheme="minorHAnsi"/>
          <w:sz w:val="24"/>
          <w:szCs w:val="24"/>
        </w:rPr>
        <w:t xml:space="preserve"> assegurar</w:t>
      </w:r>
      <w:r w:rsidR="00674577" w:rsidRPr="006E11A8">
        <w:rPr>
          <w:rFonts w:asciiTheme="minorHAnsi" w:hAnsiTheme="minorHAnsi" w:cstheme="minorHAnsi"/>
          <w:sz w:val="24"/>
          <w:szCs w:val="24"/>
        </w:rPr>
        <w:t xml:space="preserve"> o regular prosseguimento </w:t>
      </w:r>
      <w:r w:rsidR="00DE0290" w:rsidRPr="006E11A8">
        <w:rPr>
          <w:rFonts w:asciiTheme="minorHAnsi" w:hAnsiTheme="minorHAnsi" w:cstheme="minorHAnsi"/>
          <w:sz w:val="24"/>
          <w:szCs w:val="24"/>
        </w:rPr>
        <w:t xml:space="preserve">do procedimento licitatório, </w:t>
      </w:r>
      <w:r w:rsidR="00DE0290" w:rsidRPr="006E11A8">
        <w:rPr>
          <w:rFonts w:asciiTheme="minorHAnsi" w:hAnsiTheme="minorHAnsi" w:cstheme="minorHAnsi"/>
          <w:b/>
          <w:bCs/>
          <w:sz w:val="24"/>
          <w:szCs w:val="24"/>
          <w:u w:val="single"/>
        </w:rPr>
        <w:t>deve a SMA proceder a complementação dos espaços em branco dos itens da cláusula décima d</w:t>
      </w:r>
      <w:r w:rsidR="00137E1C" w:rsidRPr="006E11A8">
        <w:rPr>
          <w:rFonts w:asciiTheme="minorHAnsi" w:hAnsiTheme="minorHAnsi" w:cstheme="minorHAnsi"/>
          <w:b/>
          <w:bCs/>
          <w:sz w:val="24"/>
          <w:szCs w:val="24"/>
          <w:u w:val="single"/>
        </w:rPr>
        <w:t>a minuta</w:t>
      </w:r>
      <w:r w:rsidR="00DE0290" w:rsidRPr="006E11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137E1C" w:rsidRPr="006E11A8">
        <w:rPr>
          <w:rFonts w:asciiTheme="minorHAnsi" w:hAnsiTheme="minorHAnsi" w:cstheme="minorHAnsi"/>
          <w:b/>
          <w:bCs/>
          <w:sz w:val="24"/>
          <w:szCs w:val="24"/>
          <w:u w:val="single"/>
        </w:rPr>
        <w:t>contrato (Anexo IX)</w:t>
      </w:r>
      <w:r w:rsidR="00DE0290" w:rsidRPr="006E11A8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, </w:t>
      </w:r>
      <w:r w:rsidR="006807E6" w:rsidRPr="006E11A8">
        <w:rPr>
          <w:rFonts w:asciiTheme="minorHAnsi" w:hAnsiTheme="minorHAnsi" w:cstheme="minorHAnsi"/>
          <w:b/>
          <w:bCs/>
          <w:sz w:val="24"/>
          <w:szCs w:val="24"/>
          <w:u w:val="single"/>
        </w:rPr>
        <w:t>devendo constar expressamente o percentual de garantia exigido</w:t>
      </w:r>
      <w:r w:rsidR="006807E6" w:rsidRPr="006E11A8">
        <w:rPr>
          <w:rFonts w:asciiTheme="minorHAnsi" w:hAnsiTheme="minorHAnsi" w:cstheme="minorHAnsi"/>
          <w:sz w:val="24"/>
          <w:szCs w:val="24"/>
        </w:rPr>
        <w:t>, de forma</w:t>
      </w:r>
      <w:r w:rsidR="00DE0290" w:rsidRPr="006E11A8">
        <w:rPr>
          <w:rFonts w:asciiTheme="minorHAnsi" w:hAnsiTheme="minorHAnsi" w:cstheme="minorHAnsi"/>
          <w:sz w:val="24"/>
          <w:szCs w:val="24"/>
        </w:rPr>
        <w:t xml:space="preserve"> que os licitantes interessados po</w:t>
      </w:r>
      <w:r w:rsidR="006807E6" w:rsidRPr="006E11A8">
        <w:rPr>
          <w:rFonts w:asciiTheme="minorHAnsi" w:hAnsiTheme="minorHAnsi" w:cstheme="minorHAnsi"/>
          <w:sz w:val="24"/>
          <w:szCs w:val="24"/>
        </w:rPr>
        <w:t>ssam</w:t>
      </w:r>
      <w:r w:rsidR="00DE0290" w:rsidRPr="006E11A8">
        <w:rPr>
          <w:rFonts w:asciiTheme="minorHAnsi" w:hAnsiTheme="minorHAnsi" w:cstheme="minorHAnsi"/>
          <w:sz w:val="24"/>
          <w:szCs w:val="24"/>
        </w:rPr>
        <w:t xml:space="preserve"> apresentar suas propostas </w:t>
      </w:r>
      <w:r w:rsidR="006807E6" w:rsidRPr="006E11A8">
        <w:rPr>
          <w:rFonts w:asciiTheme="minorHAnsi" w:hAnsiTheme="minorHAnsi" w:cstheme="minorHAnsi"/>
          <w:sz w:val="24"/>
          <w:szCs w:val="24"/>
        </w:rPr>
        <w:t xml:space="preserve">com todas as informações necessárias ao cumprimento das obrigações contratuais. </w:t>
      </w:r>
    </w:p>
    <w:p w14:paraId="5D08C410" w14:textId="77777777" w:rsidR="00316E6E" w:rsidRPr="006E11A8" w:rsidRDefault="00316E6E" w:rsidP="00F20243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91B66D" w14:textId="29AE933E" w:rsidR="001919B7" w:rsidRPr="006E11A8" w:rsidRDefault="00A82530" w:rsidP="00754BB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11A8">
        <w:rPr>
          <w:rFonts w:asciiTheme="minorHAnsi" w:hAnsiTheme="minorHAnsi" w:cstheme="minorHAnsi"/>
          <w:b/>
          <w:sz w:val="24"/>
          <w:szCs w:val="24"/>
          <w:u w:val="single"/>
        </w:rPr>
        <w:t>III – CONCLUSÃO</w:t>
      </w:r>
    </w:p>
    <w:p w14:paraId="5F137240" w14:textId="77777777" w:rsidR="00262CBA" w:rsidRPr="006E11A8" w:rsidRDefault="00262CBA" w:rsidP="00C374FD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DD38D0C" w14:textId="6564E9F8" w:rsidR="006204C5" w:rsidRPr="006E11A8" w:rsidRDefault="00A3082C" w:rsidP="0019210A">
      <w:pPr>
        <w:spacing w:after="240" w:line="360" w:lineRule="auto"/>
        <w:ind w:firstLine="141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>Pelo exposto nas razões</w:t>
      </w:r>
      <w:r w:rsidR="008977D4" w:rsidRPr="006E11A8">
        <w:rPr>
          <w:rFonts w:asciiTheme="minorHAnsi" w:hAnsiTheme="minorHAnsi" w:cstheme="minorHAnsi"/>
          <w:sz w:val="24"/>
          <w:szCs w:val="24"/>
        </w:rPr>
        <w:t xml:space="preserve"> da análise jurídica,</w:t>
      </w:r>
      <w:r w:rsidR="006204C5" w:rsidRPr="006E11A8">
        <w:rPr>
          <w:rFonts w:asciiTheme="minorHAnsi" w:hAnsiTheme="minorHAnsi" w:cstheme="minorHAnsi"/>
          <w:sz w:val="24"/>
          <w:szCs w:val="24"/>
        </w:rPr>
        <w:t xml:space="preserve"> </w:t>
      </w:r>
      <w:r w:rsidR="001D759A" w:rsidRPr="006E11A8">
        <w:rPr>
          <w:rFonts w:asciiTheme="minorHAnsi" w:hAnsiTheme="minorHAnsi" w:cstheme="minorHAnsi"/>
          <w:sz w:val="24"/>
          <w:szCs w:val="24"/>
        </w:rPr>
        <w:t>opinamos pel</w:t>
      </w:r>
      <w:r w:rsidR="006204C5" w:rsidRPr="006E11A8">
        <w:rPr>
          <w:rFonts w:asciiTheme="minorHAnsi" w:hAnsiTheme="minorHAnsi" w:cstheme="minorHAnsi"/>
          <w:sz w:val="24"/>
          <w:szCs w:val="24"/>
        </w:rPr>
        <w:t>o</w:t>
      </w:r>
      <w:r w:rsidR="001D759A" w:rsidRPr="006E11A8">
        <w:rPr>
          <w:rFonts w:asciiTheme="minorHAnsi" w:hAnsiTheme="minorHAnsi" w:cstheme="minorHAnsi"/>
          <w:sz w:val="24"/>
          <w:szCs w:val="24"/>
        </w:rPr>
        <w:t xml:space="preserve"> </w:t>
      </w:r>
      <w:r w:rsidR="006204C5" w:rsidRPr="006E11A8">
        <w:rPr>
          <w:rFonts w:asciiTheme="minorHAnsi" w:hAnsiTheme="minorHAnsi" w:cstheme="minorHAnsi"/>
          <w:bCs/>
          <w:sz w:val="24"/>
          <w:szCs w:val="24"/>
        </w:rPr>
        <w:t xml:space="preserve">PARCIAL provimento </w:t>
      </w:r>
      <w:r w:rsidR="00CF4C12" w:rsidRPr="006E11A8">
        <w:rPr>
          <w:rFonts w:asciiTheme="minorHAnsi" w:hAnsiTheme="minorHAnsi" w:cstheme="minorHAnsi"/>
          <w:bCs/>
          <w:sz w:val="24"/>
          <w:szCs w:val="24"/>
        </w:rPr>
        <w:t>da</w:t>
      </w:r>
      <w:r w:rsidR="006204C5" w:rsidRPr="006E11A8">
        <w:rPr>
          <w:rFonts w:asciiTheme="minorHAnsi" w:hAnsiTheme="minorHAnsi" w:cstheme="minorHAnsi"/>
          <w:bCs/>
          <w:sz w:val="24"/>
          <w:szCs w:val="24"/>
        </w:rPr>
        <w:t xml:space="preserve"> impugnação</w:t>
      </w:r>
      <w:r w:rsidR="00CF4C12" w:rsidRPr="006E11A8">
        <w:rPr>
          <w:rFonts w:asciiTheme="minorHAnsi" w:hAnsiTheme="minorHAnsi" w:cstheme="minorHAnsi"/>
          <w:bCs/>
          <w:sz w:val="24"/>
          <w:szCs w:val="24"/>
        </w:rPr>
        <w:t>,</w:t>
      </w:r>
      <w:r w:rsidR="006204C5" w:rsidRPr="006E11A8">
        <w:rPr>
          <w:rFonts w:asciiTheme="minorHAnsi" w:hAnsiTheme="minorHAnsi" w:cstheme="minorHAnsi"/>
          <w:bCs/>
          <w:sz w:val="24"/>
          <w:szCs w:val="24"/>
        </w:rPr>
        <w:t xml:space="preserve"> apenas para </w:t>
      </w:r>
      <w:r w:rsidR="006204C5" w:rsidRPr="006E11A8">
        <w:rPr>
          <w:rFonts w:asciiTheme="minorHAnsi" w:hAnsiTheme="minorHAnsi" w:cstheme="minorHAnsi"/>
          <w:sz w:val="24"/>
          <w:szCs w:val="24"/>
        </w:rPr>
        <w:t xml:space="preserve">que o item 12.5.4 (comprovação de patrimônio líquido mínimo de 10%) seja exigido </w:t>
      </w:r>
      <w:r w:rsidR="006204C5" w:rsidRPr="006E11A8">
        <w:rPr>
          <w:rFonts w:asciiTheme="minorHAnsi" w:hAnsiTheme="minorHAnsi" w:cstheme="minorHAnsi"/>
          <w:sz w:val="24"/>
          <w:szCs w:val="24"/>
          <w:u w:val="single"/>
        </w:rPr>
        <w:t>de forma alternativa</w:t>
      </w:r>
      <w:r w:rsidR="006204C5" w:rsidRPr="006E11A8">
        <w:rPr>
          <w:rFonts w:asciiTheme="minorHAnsi" w:hAnsiTheme="minorHAnsi" w:cstheme="minorHAnsi"/>
          <w:sz w:val="24"/>
          <w:szCs w:val="24"/>
        </w:rPr>
        <w:t xml:space="preserve"> aos licitantes que não alcançarem os índices previstos no item 12.5.2.2, ambos </w:t>
      </w:r>
      <w:r w:rsidR="001D759A" w:rsidRPr="006E11A8">
        <w:rPr>
          <w:rFonts w:asciiTheme="minorHAnsi" w:hAnsiTheme="minorHAnsi" w:cstheme="minorHAnsi"/>
          <w:sz w:val="24"/>
          <w:szCs w:val="24"/>
        </w:rPr>
        <w:t xml:space="preserve">do Edital de Pregão </w:t>
      </w:r>
      <w:r w:rsidR="00183B14" w:rsidRPr="006E11A8">
        <w:rPr>
          <w:rFonts w:asciiTheme="minorHAnsi" w:hAnsiTheme="minorHAnsi" w:cstheme="minorHAnsi"/>
          <w:sz w:val="24"/>
          <w:szCs w:val="24"/>
        </w:rPr>
        <w:t>Eletrônico</w:t>
      </w:r>
      <w:r w:rsidR="001D759A" w:rsidRPr="006E11A8">
        <w:rPr>
          <w:rFonts w:asciiTheme="minorHAnsi" w:hAnsiTheme="minorHAnsi" w:cstheme="minorHAnsi"/>
          <w:sz w:val="24"/>
          <w:szCs w:val="24"/>
        </w:rPr>
        <w:t xml:space="preserve"> nº </w:t>
      </w:r>
      <w:r w:rsidR="00140E0A" w:rsidRPr="006E11A8">
        <w:rPr>
          <w:rFonts w:asciiTheme="minorHAnsi" w:hAnsiTheme="minorHAnsi" w:cstheme="minorHAnsi"/>
          <w:bCs/>
          <w:smallCaps/>
          <w:sz w:val="24"/>
          <w:szCs w:val="24"/>
        </w:rPr>
        <w:t>015/2015,</w:t>
      </w:r>
      <w:r w:rsidR="001D759A" w:rsidRPr="006E11A8">
        <w:rPr>
          <w:rFonts w:asciiTheme="minorHAnsi" w:hAnsiTheme="minorHAnsi" w:cstheme="minorHAnsi"/>
          <w:bCs/>
          <w:sz w:val="24"/>
          <w:szCs w:val="24"/>
        </w:rPr>
        <w:t xml:space="preserve"> devendo ser dado</w:t>
      </w:r>
      <w:r w:rsidR="006204C5" w:rsidRPr="006E11A8">
        <w:rPr>
          <w:rFonts w:asciiTheme="minorHAnsi" w:hAnsiTheme="minorHAnsi" w:cstheme="minorHAnsi"/>
          <w:bCs/>
          <w:sz w:val="24"/>
          <w:szCs w:val="24"/>
        </w:rPr>
        <w:t>.</w:t>
      </w:r>
    </w:p>
    <w:p w14:paraId="1214C13D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91F074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8D303E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70BD822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ADDCF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6CF1FE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17A3A8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8BB668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31CF5A" w14:textId="7E609D86" w:rsidR="003A4EF9" w:rsidRPr="003A4EF9" w:rsidRDefault="003A4EF9" w:rsidP="003A4EF9">
      <w:pPr>
        <w:pStyle w:val="PargrafodaLista"/>
        <w:numPr>
          <w:ilvl w:val="0"/>
          <w:numId w:val="21"/>
        </w:numPr>
        <w:rPr>
          <w:rFonts w:asciiTheme="minorHAnsi" w:hAnsiTheme="minorHAnsi" w:cstheme="minorHAnsi"/>
          <w:b/>
          <w:sz w:val="24"/>
          <w:szCs w:val="24"/>
        </w:rPr>
      </w:pPr>
      <w:r w:rsidRPr="003A4EF9">
        <w:rPr>
          <w:rFonts w:asciiTheme="minorHAnsi" w:hAnsiTheme="minorHAnsi" w:cstheme="minorHAnsi"/>
          <w:b/>
          <w:sz w:val="24"/>
          <w:szCs w:val="24"/>
        </w:rPr>
        <w:t>DECISÃO</w:t>
      </w:r>
    </w:p>
    <w:p w14:paraId="02B191BC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D57A62" w14:textId="34F9E743" w:rsidR="003A4EF9" w:rsidRDefault="00253CEB" w:rsidP="003A4E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bookmarkStart w:id="14" w:name="_GoBack"/>
      <w:bookmarkEnd w:id="14"/>
      <w:r w:rsidR="003A4EF9">
        <w:rPr>
          <w:rFonts w:asciiTheme="minorHAnsi" w:hAnsiTheme="minorHAnsi" w:cstheme="minorHAnsi"/>
          <w:sz w:val="24"/>
          <w:szCs w:val="24"/>
        </w:rPr>
        <w:t xml:space="preserve">Tendo em vista a manifestação exarada pela área jurídica na análise da impugnação referente ao Pregão Eletrônico nº 015/2021, </w:t>
      </w:r>
      <w:r w:rsidR="00D750BA">
        <w:rPr>
          <w:rFonts w:asciiTheme="minorHAnsi" w:hAnsiTheme="minorHAnsi" w:cstheme="minorHAnsi"/>
          <w:sz w:val="24"/>
          <w:szCs w:val="24"/>
        </w:rPr>
        <w:t xml:space="preserve">ratificamos o parecer jurídico da Procuradoria Geral do Município e </w:t>
      </w:r>
      <w:r w:rsidR="003A4EF9" w:rsidRPr="003A4EF9">
        <w:rPr>
          <w:rFonts w:asciiTheme="minorHAnsi" w:hAnsiTheme="minorHAnsi" w:cstheme="minorHAnsi"/>
          <w:b/>
          <w:sz w:val="24"/>
          <w:szCs w:val="24"/>
        </w:rPr>
        <w:t>DEFERIMOS PARCIALMENTE</w:t>
      </w:r>
      <w:r w:rsidR="003A4EF9">
        <w:rPr>
          <w:rFonts w:asciiTheme="minorHAnsi" w:hAnsiTheme="minorHAnsi" w:cstheme="minorHAnsi"/>
          <w:sz w:val="24"/>
          <w:szCs w:val="24"/>
        </w:rPr>
        <w:t xml:space="preserve"> à impugnação interposta por essa conceituada empresa, sendo publicada a ERRATA contendo:</w:t>
      </w:r>
    </w:p>
    <w:p w14:paraId="3A845B1D" w14:textId="7720F7BA" w:rsidR="003A4EF9" w:rsidRDefault="003A4EF9" w:rsidP="003A4E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865AAB" w14:textId="191AF44A" w:rsidR="00D91BA2" w:rsidRPr="00D91BA2" w:rsidRDefault="00D91BA2" w:rsidP="00D91BA2">
      <w:pPr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“</w:t>
      </w:r>
      <w:r w:rsidRPr="00D91BA2">
        <w:rPr>
          <w:rFonts w:ascii="Calibri" w:hAnsi="Calibri" w:cs="Calibri"/>
          <w:b/>
          <w:sz w:val="22"/>
          <w:szCs w:val="22"/>
        </w:rPr>
        <w:t xml:space="preserve">NO SUBITEM 12.5.4 DO EDITAL </w:t>
      </w:r>
    </w:p>
    <w:p w14:paraId="7A512FA1" w14:textId="77777777" w:rsidR="00D91BA2" w:rsidRPr="00D91BA2" w:rsidRDefault="00D91BA2" w:rsidP="00D91BA2">
      <w:pPr>
        <w:jc w:val="both"/>
        <w:rPr>
          <w:rFonts w:ascii="Calibri" w:hAnsi="Calibri" w:cs="Calibri"/>
          <w:sz w:val="22"/>
          <w:szCs w:val="22"/>
        </w:rPr>
      </w:pPr>
      <w:r w:rsidRPr="00D91BA2">
        <w:rPr>
          <w:rFonts w:ascii="Calibri" w:hAnsi="Calibri" w:cs="Calibri"/>
          <w:b/>
          <w:sz w:val="22"/>
          <w:szCs w:val="22"/>
        </w:rPr>
        <w:t>Onde se lê</w:t>
      </w:r>
      <w:r w:rsidRPr="00D91BA2">
        <w:rPr>
          <w:rFonts w:ascii="Calibri" w:hAnsi="Calibri" w:cs="Calibri"/>
          <w:sz w:val="22"/>
          <w:szCs w:val="22"/>
        </w:rPr>
        <w:t xml:space="preserve">: “Comprovação de ser dotado de patrimônio líquido mínimo igual ou superior ao correspondente ao percentual de 10% (dez inteiros por cento) do valor máximo estimado para a </w:t>
      </w:r>
      <w:proofErr w:type="gramStart"/>
      <w:r w:rsidRPr="00D91BA2">
        <w:rPr>
          <w:rFonts w:ascii="Calibri" w:hAnsi="Calibri" w:cs="Calibri"/>
          <w:sz w:val="22"/>
          <w:szCs w:val="22"/>
        </w:rPr>
        <w:t>contratação.”</w:t>
      </w:r>
      <w:proofErr w:type="gramEnd"/>
    </w:p>
    <w:p w14:paraId="179D332B" w14:textId="2313DD48" w:rsidR="00D91BA2" w:rsidRPr="00D91BA2" w:rsidRDefault="00D91BA2" w:rsidP="00D91BA2">
      <w:pPr>
        <w:jc w:val="both"/>
        <w:rPr>
          <w:rFonts w:ascii="Calibri" w:hAnsi="Calibri" w:cs="Calibri"/>
          <w:sz w:val="22"/>
          <w:szCs w:val="22"/>
        </w:rPr>
      </w:pPr>
      <w:r w:rsidRPr="00D91BA2">
        <w:rPr>
          <w:rFonts w:ascii="Calibri" w:hAnsi="Calibri" w:cs="Calibri"/>
          <w:b/>
          <w:sz w:val="22"/>
          <w:szCs w:val="22"/>
        </w:rPr>
        <w:t>Leia-se</w:t>
      </w:r>
      <w:r w:rsidRPr="00D91BA2">
        <w:rPr>
          <w:rFonts w:ascii="Calibri" w:hAnsi="Calibri" w:cs="Calibri"/>
          <w:sz w:val="22"/>
          <w:szCs w:val="22"/>
        </w:rPr>
        <w:t xml:space="preserve">: Comprovação de ser dotado de patrimônio líquido mínimo igual ou superior ao correspondente ao percentual de 10% (dez inteiros por cento) do valor máximo estimado para a contratação, caso não sejam alcançados os índices previstos no subitem 12.5.2.2 do </w:t>
      </w:r>
      <w:proofErr w:type="gramStart"/>
      <w:r w:rsidRPr="00D91BA2">
        <w:rPr>
          <w:rFonts w:ascii="Calibri" w:hAnsi="Calibri" w:cs="Calibri"/>
          <w:sz w:val="22"/>
          <w:szCs w:val="22"/>
        </w:rPr>
        <w:t>Edital.</w:t>
      </w:r>
      <w:r>
        <w:rPr>
          <w:rFonts w:ascii="Calibri" w:hAnsi="Calibri" w:cs="Calibri"/>
          <w:sz w:val="22"/>
          <w:szCs w:val="22"/>
        </w:rPr>
        <w:t>”</w:t>
      </w:r>
      <w:proofErr w:type="gramEnd"/>
    </w:p>
    <w:p w14:paraId="46CC8A10" w14:textId="77777777" w:rsidR="003A4EF9" w:rsidRDefault="003A4EF9" w:rsidP="003A4EF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F98F5F" w14:textId="2E4B0C52" w:rsidR="003A4EF9" w:rsidRPr="003A4EF9" w:rsidRDefault="00253CEB" w:rsidP="003A4EF9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="003A4EF9">
        <w:rPr>
          <w:rFonts w:asciiTheme="minorHAnsi" w:hAnsiTheme="minorHAnsi" w:cstheme="minorHAnsi"/>
          <w:sz w:val="24"/>
          <w:szCs w:val="24"/>
        </w:rPr>
        <w:t xml:space="preserve">Em razão da alteração não afetar a formulação das propostas, </w:t>
      </w:r>
      <w:r w:rsidR="003A4EF9" w:rsidRPr="003A4EF9">
        <w:rPr>
          <w:rFonts w:asciiTheme="minorHAnsi" w:hAnsiTheme="minorHAnsi" w:cstheme="minorHAnsi"/>
          <w:sz w:val="24"/>
          <w:szCs w:val="24"/>
        </w:rPr>
        <w:t xml:space="preserve">será mantida a data </w:t>
      </w:r>
      <w:r w:rsidR="003A4EF9">
        <w:rPr>
          <w:rFonts w:asciiTheme="minorHAnsi" w:hAnsiTheme="minorHAnsi" w:cstheme="minorHAnsi"/>
          <w:sz w:val="24"/>
          <w:szCs w:val="24"/>
        </w:rPr>
        <w:t>anteriormente designada para a realização do pregão.</w:t>
      </w:r>
    </w:p>
    <w:p w14:paraId="7873DC24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2A1C96" w14:textId="77777777" w:rsidR="003A4EF9" w:rsidRDefault="003A4EF9" w:rsidP="006E11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D8A202" w14:textId="223B1703" w:rsidR="006E11A8" w:rsidRPr="006E11A8" w:rsidRDefault="006E11A8" w:rsidP="003A4EF9">
      <w:pPr>
        <w:jc w:val="center"/>
        <w:rPr>
          <w:rFonts w:asciiTheme="minorHAnsi" w:hAnsiTheme="minorHAnsi" w:cstheme="minorHAnsi"/>
          <w:sz w:val="24"/>
          <w:szCs w:val="24"/>
        </w:rPr>
      </w:pPr>
      <w:r w:rsidRPr="006E11A8">
        <w:rPr>
          <w:rFonts w:asciiTheme="minorHAnsi" w:hAnsiTheme="minorHAnsi" w:cstheme="minorHAnsi"/>
          <w:sz w:val="24"/>
          <w:szCs w:val="24"/>
        </w:rPr>
        <w:t>Niterói, 09 de junho de 2021.</w:t>
      </w:r>
    </w:p>
    <w:p w14:paraId="00DBD728" w14:textId="25198F50" w:rsidR="006E11A8" w:rsidRDefault="006E11A8" w:rsidP="001921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09BC794" w14:textId="41F96CE3" w:rsidR="003A4EF9" w:rsidRDefault="003A4EF9" w:rsidP="001921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D3295E" w14:textId="77777777" w:rsidR="003A4EF9" w:rsidRPr="006E11A8" w:rsidRDefault="003A4EF9" w:rsidP="0019210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88706EA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b/>
          <w:color w:val="000000"/>
          <w:sz w:val="22"/>
          <w:szCs w:val="22"/>
        </w:rPr>
        <w:t>VILDE DORIAN</w:t>
      </w:r>
    </w:p>
    <w:p w14:paraId="38CCEE32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>Secretário Municipal de Assistência Social e Economia Solidária</w:t>
      </w:r>
    </w:p>
    <w:p w14:paraId="1A0CF34F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67473DF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3FC6008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26DE7BC" w14:textId="77777777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F21036C" w14:textId="068CCBAA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89B26F8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b/>
          <w:color w:val="000000"/>
          <w:sz w:val="22"/>
          <w:szCs w:val="22"/>
        </w:rPr>
        <w:t>AMÉRICO DINIZ NETO</w:t>
      </w:r>
    </w:p>
    <w:p w14:paraId="7332E09E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>Secretário Municipal de Desenvolvimento Econômico</w:t>
      </w:r>
    </w:p>
    <w:p w14:paraId="01DFF63A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7F5C70C" w14:textId="7F462788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16784D1" w14:textId="1AFBC14E" w:rsid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7339232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AE1BEC5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0B050F0" w14:textId="77777777" w:rsidR="006E11A8" w:rsidRPr="006E11A8" w:rsidRDefault="006E11A8" w:rsidP="006E11A8">
      <w:pPr>
        <w:spacing w:after="10"/>
        <w:ind w:left="860" w:right="5" w:hanging="435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11A8">
        <w:rPr>
          <w:rFonts w:asciiTheme="minorHAnsi" w:hAnsiTheme="minorHAnsi" w:cstheme="minorHAnsi"/>
          <w:b/>
          <w:color w:val="000000"/>
          <w:sz w:val="22"/>
          <w:szCs w:val="22"/>
        </w:rPr>
        <w:t>VINICIUS WU</w:t>
      </w:r>
    </w:p>
    <w:p w14:paraId="2D36A4A7" w14:textId="4FF4EC9D" w:rsidR="009F695D" w:rsidRPr="006E11A8" w:rsidRDefault="006E11A8" w:rsidP="00D91BA2">
      <w:pPr>
        <w:widowControl w:val="0"/>
        <w:overflowPunct w:val="0"/>
        <w:adjustRightInd w:val="0"/>
        <w:spacing w:line="276" w:lineRule="auto"/>
        <w:ind w:right="70"/>
        <w:jc w:val="center"/>
        <w:rPr>
          <w:rFonts w:asciiTheme="minorHAnsi" w:hAnsiTheme="minorHAnsi" w:cstheme="minorHAnsi"/>
          <w:szCs w:val="28"/>
        </w:rPr>
      </w:pPr>
      <w:r w:rsidRPr="006E11A8">
        <w:rPr>
          <w:rFonts w:asciiTheme="minorHAnsi" w:hAnsiTheme="minorHAnsi" w:cstheme="minorHAnsi"/>
          <w:color w:val="000000"/>
          <w:sz w:val="22"/>
          <w:szCs w:val="22"/>
        </w:rPr>
        <w:t>Secretário Municipal de Educação</w:t>
      </w:r>
    </w:p>
    <w:p w14:paraId="245757A9" w14:textId="78004161" w:rsidR="00AB3C64" w:rsidRPr="006E11A8" w:rsidRDefault="00AB3C64" w:rsidP="00AB3C6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AB3C64" w:rsidRPr="006E11A8" w:rsidSect="00403E6F">
      <w:headerReference w:type="default" r:id="rId10"/>
      <w:footerReference w:type="default" r:id="rId11"/>
      <w:pgSz w:w="11907" w:h="16839" w:code="9"/>
      <w:pgMar w:top="397" w:right="1701" w:bottom="567" w:left="1701" w:header="567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728A" w14:textId="77777777" w:rsidR="00C84695" w:rsidRDefault="00C84695">
      <w:r>
        <w:separator/>
      </w:r>
    </w:p>
  </w:endnote>
  <w:endnote w:type="continuationSeparator" w:id="0">
    <w:p w14:paraId="6F2B31C5" w14:textId="77777777" w:rsidR="00C84695" w:rsidRDefault="00C8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EE97C" w14:textId="084B336A" w:rsidR="00A571DD" w:rsidRDefault="00A571DD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53CEB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53CEB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46500DBE" w14:textId="77777777" w:rsidR="00A571DD" w:rsidRDefault="00A571DD">
    <w:pPr>
      <w:pStyle w:val="Rodap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8E7D" w14:textId="77777777" w:rsidR="00C84695" w:rsidRDefault="00C84695">
      <w:r>
        <w:separator/>
      </w:r>
    </w:p>
  </w:footnote>
  <w:footnote w:type="continuationSeparator" w:id="0">
    <w:p w14:paraId="302A5BC8" w14:textId="77777777" w:rsidR="00C84695" w:rsidRDefault="00C84695">
      <w:r>
        <w:continuationSeparator/>
      </w:r>
    </w:p>
  </w:footnote>
  <w:footnote w:id="1">
    <w:p w14:paraId="53D82C02" w14:textId="431F760E" w:rsidR="00356079" w:rsidRPr="00356079" w:rsidRDefault="00356079" w:rsidP="00356079">
      <w:pPr>
        <w:pStyle w:val="Default"/>
        <w:jc w:val="both"/>
        <w:rPr>
          <w:rFonts w:ascii="Century Gothic" w:hAnsi="Century Gothic" w:cs="Times New Roman"/>
          <w:sz w:val="20"/>
        </w:rPr>
      </w:pPr>
      <w:r w:rsidRPr="00356079">
        <w:rPr>
          <w:rStyle w:val="Refdenotaderodap"/>
          <w:rFonts w:ascii="Century Gothic" w:hAnsi="Century Gothic"/>
          <w:sz w:val="20"/>
        </w:rPr>
        <w:footnoteRef/>
      </w:r>
      <w:r w:rsidRPr="00356079">
        <w:rPr>
          <w:rFonts w:ascii="Century Gothic" w:hAnsi="Century Gothic"/>
          <w:sz w:val="20"/>
        </w:rPr>
        <w:t xml:space="preserve"> PA </w:t>
      </w:r>
      <w:proofErr w:type="gramStart"/>
      <w:r w:rsidRPr="00356079">
        <w:rPr>
          <w:rFonts w:ascii="Century Gothic" w:hAnsi="Century Gothic"/>
          <w:sz w:val="20"/>
        </w:rPr>
        <w:t>nº  020001842</w:t>
      </w:r>
      <w:proofErr w:type="gramEnd"/>
      <w:r w:rsidRPr="00356079">
        <w:rPr>
          <w:rFonts w:ascii="Century Gothic" w:hAnsi="Century Gothic"/>
          <w:sz w:val="20"/>
        </w:rPr>
        <w:t>/2021, de 07/04/2021, que contou com o PARECER Nº 36/MVSC/PPLC/202</w:t>
      </w:r>
      <w:r>
        <w:rPr>
          <w:rFonts w:ascii="Century Gothic" w:hAnsi="Century Gothic"/>
          <w:sz w:val="20"/>
        </w:rPr>
        <w:t>1</w:t>
      </w:r>
      <w:r w:rsidRPr="00356079">
        <w:rPr>
          <w:rFonts w:ascii="Century Gothic" w:hAnsi="Century Gothic"/>
          <w:sz w:val="20"/>
        </w:rPr>
        <w:t xml:space="preserve"> desta Especializada.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E51F" w14:textId="77777777" w:rsidR="00A571DD" w:rsidRDefault="00A571DD" w:rsidP="00565851">
    <w:pPr>
      <w:pStyle w:val="Cabealho"/>
      <w:jc w:val="center"/>
      <w:rPr>
        <w:rFonts w:ascii="Tahoma" w:hAnsi="Tahoma" w:cs="Tahoma"/>
        <w:b/>
        <w:sz w:val="16"/>
        <w:szCs w:val="16"/>
      </w:rPr>
    </w:pPr>
  </w:p>
  <w:p w14:paraId="6F10B5CB" w14:textId="77777777" w:rsidR="00A571DD" w:rsidRDefault="00A571DD" w:rsidP="00565851">
    <w:pPr>
      <w:pStyle w:val="Cabealho"/>
      <w:jc w:val="center"/>
    </w:pPr>
  </w:p>
  <w:p w14:paraId="6F1B1D49" w14:textId="17444F69" w:rsidR="00A571DD" w:rsidRDefault="00A571DD" w:rsidP="00565851">
    <w:pPr>
      <w:pStyle w:val="Cabealho"/>
      <w:jc w:val="center"/>
    </w:pPr>
  </w:p>
  <w:p w14:paraId="7E3F7320" w14:textId="77777777" w:rsidR="00A571DD" w:rsidRDefault="00A571DD" w:rsidP="00565851">
    <w:pPr>
      <w:pStyle w:val="Cabealho"/>
      <w:jc w:val="center"/>
    </w:pPr>
  </w:p>
  <w:p w14:paraId="63308B55" w14:textId="77777777" w:rsidR="00A571DD" w:rsidRDefault="00A571DD" w:rsidP="00565851">
    <w:pPr>
      <w:pStyle w:val="Cabealho"/>
      <w:jc w:val="center"/>
    </w:pPr>
  </w:p>
  <w:tbl>
    <w:tblPr>
      <w:tblW w:w="0" w:type="auto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02"/>
      <w:gridCol w:w="1840"/>
      <w:gridCol w:w="1968"/>
      <w:gridCol w:w="1829"/>
    </w:tblGrid>
    <w:tr w:rsidR="00A571DD" w14:paraId="49F3E4E4" w14:textId="77777777" w:rsidTr="00C21969">
      <w:tc>
        <w:tcPr>
          <w:tcW w:w="2802" w:type="dxa"/>
          <w:shd w:val="clear" w:color="auto" w:fill="auto"/>
        </w:tcPr>
        <w:p w14:paraId="585E2DB2" w14:textId="03CB096D" w:rsidR="00A571DD" w:rsidRPr="006E11A8" w:rsidRDefault="00A571DD">
          <w:pPr>
            <w:rPr>
              <w:b/>
              <w:sz w:val="24"/>
            </w:rPr>
          </w:pPr>
          <w:r w:rsidRPr="006E11A8">
            <w:rPr>
              <w:b/>
              <w:sz w:val="24"/>
            </w:rPr>
            <w:t>Processo nº</w:t>
          </w:r>
          <w:r w:rsidR="006E11A8" w:rsidRPr="006E11A8">
            <w:rPr>
              <w:b/>
              <w:sz w:val="24"/>
            </w:rPr>
            <w:t xml:space="preserve"> 020/002899/2021</w:t>
          </w:r>
        </w:p>
        <w:p w14:paraId="300BDC22" w14:textId="7434D3B9" w:rsidR="00A571DD" w:rsidRPr="006E11A8" w:rsidRDefault="00A571DD" w:rsidP="00D04206">
          <w:pPr>
            <w:rPr>
              <w:b/>
              <w:sz w:val="24"/>
            </w:rPr>
          </w:pPr>
        </w:p>
      </w:tc>
      <w:tc>
        <w:tcPr>
          <w:tcW w:w="1840" w:type="dxa"/>
          <w:shd w:val="clear" w:color="auto" w:fill="auto"/>
        </w:tcPr>
        <w:p w14:paraId="5208CF5B" w14:textId="77777777" w:rsidR="00A571DD" w:rsidRPr="006E11A8" w:rsidRDefault="00A571DD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 xml:space="preserve">Data: </w:t>
          </w:r>
        </w:p>
        <w:p w14:paraId="3707A914" w14:textId="4B58454D" w:rsidR="00A571DD" w:rsidRPr="006E11A8" w:rsidRDefault="006E11A8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>08/06/2021</w:t>
          </w:r>
        </w:p>
      </w:tc>
      <w:tc>
        <w:tcPr>
          <w:tcW w:w="1968" w:type="dxa"/>
          <w:shd w:val="clear" w:color="auto" w:fill="auto"/>
        </w:tcPr>
        <w:p w14:paraId="3BEE47FF" w14:textId="77777777" w:rsidR="00A571DD" w:rsidRPr="006E11A8" w:rsidRDefault="00A571DD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>RUBRICA</w:t>
          </w:r>
        </w:p>
      </w:tc>
      <w:tc>
        <w:tcPr>
          <w:tcW w:w="1829" w:type="dxa"/>
          <w:shd w:val="clear" w:color="auto" w:fill="auto"/>
        </w:tcPr>
        <w:p w14:paraId="3F4CD269" w14:textId="77777777" w:rsidR="00A571DD" w:rsidRPr="006E11A8" w:rsidRDefault="00A571DD">
          <w:pPr>
            <w:jc w:val="center"/>
            <w:rPr>
              <w:b/>
              <w:sz w:val="24"/>
            </w:rPr>
          </w:pPr>
          <w:r w:rsidRPr="006E11A8">
            <w:rPr>
              <w:b/>
              <w:sz w:val="24"/>
            </w:rPr>
            <w:t>FLS.</w:t>
          </w:r>
        </w:p>
        <w:p w14:paraId="0130D8A5" w14:textId="77777777" w:rsidR="00A571DD" w:rsidRPr="006E11A8" w:rsidRDefault="00A571DD">
          <w:pPr>
            <w:jc w:val="center"/>
            <w:rPr>
              <w:b/>
              <w:sz w:val="24"/>
            </w:rPr>
          </w:pPr>
        </w:p>
      </w:tc>
    </w:tr>
  </w:tbl>
  <w:p w14:paraId="2CA0EC73" w14:textId="77777777" w:rsidR="00A571DD" w:rsidRDefault="00A571DD">
    <w:pPr>
      <w:pStyle w:val="Ttulo1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703"/>
    <w:multiLevelType w:val="hybridMultilevel"/>
    <w:tmpl w:val="6F2436D8"/>
    <w:lvl w:ilvl="0" w:tplc="6630BFE4">
      <w:start w:val="1"/>
      <w:numFmt w:val="upperRoman"/>
      <w:lvlText w:val="%1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063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9A1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42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24B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A0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6CD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6C3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744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066F7D"/>
    <w:multiLevelType w:val="hybridMultilevel"/>
    <w:tmpl w:val="640A3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1DD1"/>
    <w:multiLevelType w:val="multilevel"/>
    <w:tmpl w:val="0EE6D20C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ED1B9A"/>
    <w:multiLevelType w:val="hybridMultilevel"/>
    <w:tmpl w:val="5A1695C0"/>
    <w:lvl w:ilvl="0" w:tplc="A6EE962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95F4DAB"/>
    <w:multiLevelType w:val="hybridMultilevel"/>
    <w:tmpl w:val="B0A40E4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F097D89"/>
    <w:multiLevelType w:val="multilevel"/>
    <w:tmpl w:val="ADECB8CE"/>
    <w:lvl w:ilvl="0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336968"/>
    <w:multiLevelType w:val="multilevel"/>
    <w:tmpl w:val="00000000"/>
    <w:lvl w:ilvl="0">
      <w:start w:val="2"/>
      <w:numFmt w:val="decimal"/>
      <w:lvlText w:val="%1.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55222E78"/>
    <w:multiLevelType w:val="hybridMultilevel"/>
    <w:tmpl w:val="3B2E9D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912C4"/>
    <w:multiLevelType w:val="hybridMultilevel"/>
    <w:tmpl w:val="05443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2A6A"/>
    <w:multiLevelType w:val="multilevel"/>
    <w:tmpl w:val="D9C049E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647BF5"/>
    <w:multiLevelType w:val="hybridMultilevel"/>
    <w:tmpl w:val="B9D25AEA"/>
    <w:lvl w:ilvl="0" w:tplc="224E75B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73D46029"/>
    <w:multiLevelType w:val="multilevel"/>
    <w:tmpl w:val="ADECB8CE"/>
    <w:lvl w:ilvl="0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9201882"/>
    <w:multiLevelType w:val="multilevel"/>
    <w:tmpl w:val="C9CE86E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18"/>
  </w:num>
  <w:num w:numId="15">
    <w:abstractNumId w:val="12"/>
  </w:num>
  <w:num w:numId="16">
    <w:abstractNumId w:val="9"/>
  </w:num>
  <w:num w:numId="17">
    <w:abstractNumId w:val="16"/>
  </w:num>
  <w:num w:numId="18">
    <w:abstractNumId w:val="19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9C"/>
    <w:rsid w:val="0000341B"/>
    <w:rsid w:val="00005C6D"/>
    <w:rsid w:val="00011532"/>
    <w:rsid w:val="000156D6"/>
    <w:rsid w:val="00017D35"/>
    <w:rsid w:val="00021A6D"/>
    <w:rsid w:val="00021B27"/>
    <w:rsid w:val="0002416B"/>
    <w:rsid w:val="00024577"/>
    <w:rsid w:val="000250C9"/>
    <w:rsid w:val="00033EA5"/>
    <w:rsid w:val="00036D80"/>
    <w:rsid w:val="000431D5"/>
    <w:rsid w:val="000445AA"/>
    <w:rsid w:val="00044909"/>
    <w:rsid w:val="0005144D"/>
    <w:rsid w:val="000575EB"/>
    <w:rsid w:val="000625F5"/>
    <w:rsid w:val="0006300A"/>
    <w:rsid w:val="00064E0F"/>
    <w:rsid w:val="00065E6F"/>
    <w:rsid w:val="00065F56"/>
    <w:rsid w:val="00065FDE"/>
    <w:rsid w:val="000716BC"/>
    <w:rsid w:val="0007415E"/>
    <w:rsid w:val="00075D05"/>
    <w:rsid w:val="00080AA0"/>
    <w:rsid w:val="00084019"/>
    <w:rsid w:val="00085D0B"/>
    <w:rsid w:val="000866DF"/>
    <w:rsid w:val="00091730"/>
    <w:rsid w:val="00091F4C"/>
    <w:rsid w:val="00092EBD"/>
    <w:rsid w:val="00092F79"/>
    <w:rsid w:val="00093AFE"/>
    <w:rsid w:val="00095A5C"/>
    <w:rsid w:val="000A4F75"/>
    <w:rsid w:val="000A5399"/>
    <w:rsid w:val="000A6388"/>
    <w:rsid w:val="000A686A"/>
    <w:rsid w:val="000A7CA7"/>
    <w:rsid w:val="000B5F3A"/>
    <w:rsid w:val="000C0ED9"/>
    <w:rsid w:val="000C2497"/>
    <w:rsid w:val="000C3033"/>
    <w:rsid w:val="000C4853"/>
    <w:rsid w:val="000C4DCB"/>
    <w:rsid w:val="000C77DB"/>
    <w:rsid w:val="000D1514"/>
    <w:rsid w:val="000D2F3E"/>
    <w:rsid w:val="000D49A4"/>
    <w:rsid w:val="000D4A42"/>
    <w:rsid w:val="000D4C84"/>
    <w:rsid w:val="000D7CC1"/>
    <w:rsid w:val="000E3608"/>
    <w:rsid w:val="000E3AEE"/>
    <w:rsid w:val="000E7C0D"/>
    <w:rsid w:val="000F7F3A"/>
    <w:rsid w:val="001003E6"/>
    <w:rsid w:val="0010083F"/>
    <w:rsid w:val="00101D2B"/>
    <w:rsid w:val="001036DA"/>
    <w:rsid w:val="0010386F"/>
    <w:rsid w:val="0011628A"/>
    <w:rsid w:val="00121E31"/>
    <w:rsid w:val="00122EE5"/>
    <w:rsid w:val="0012350F"/>
    <w:rsid w:val="00130B87"/>
    <w:rsid w:val="001321DD"/>
    <w:rsid w:val="001334A6"/>
    <w:rsid w:val="00136D72"/>
    <w:rsid w:val="00137A2C"/>
    <w:rsid w:val="00137E1C"/>
    <w:rsid w:val="00140E0A"/>
    <w:rsid w:val="00142759"/>
    <w:rsid w:val="00145855"/>
    <w:rsid w:val="001464DC"/>
    <w:rsid w:val="001470CD"/>
    <w:rsid w:val="00151024"/>
    <w:rsid w:val="00152C01"/>
    <w:rsid w:val="001546C8"/>
    <w:rsid w:val="001562F8"/>
    <w:rsid w:val="001657C1"/>
    <w:rsid w:val="0017057D"/>
    <w:rsid w:val="0017083E"/>
    <w:rsid w:val="00171438"/>
    <w:rsid w:val="0017463A"/>
    <w:rsid w:val="0017617C"/>
    <w:rsid w:val="00176CB7"/>
    <w:rsid w:val="00177367"/>
    <w:rsid w:val="00177CA3"/>
    <w:rsid w:val="00181E26"/>
    <w:rsid w:val="00182A49"/>
    <w:rsid w:val="00183B14"/>
    <w:rsid w:val="0018697C"/>
    <w:rsid w:val="001919B7"/>
    <w:rsid w:val="0019210A"/>
    <w:rsid w:val="0019709B"/>
    <w:rsid w:val="001A1092"/>
    <w:rsid w:val="001A25B8"/>
    <w:rsid w:val="001A3F89"/>
    <w:rsid w:val="001B0FA6"/>
    <w:rsid w:val="001B30FC"/>
    <w:rsid w:val="001B4540"/>
    <w:rsid w:val="001B667A"/>
    <w:rsid w:val="001C0A05"/>
    <w:rsid w:val="001C1041"/>
    <w:rsid w:val="001C28AD"/>
    <w:rsid w:val="001C2CD0"/>
    <w:rsid w:val="001C3B88"/>
    <w:rsid w:val="001C5B57"/>
    <w:rsid w:val="001C6C5E"/>
    <w:rsid w:val="001C6DAA"/>
    <w:rsid w:val="001C7A3B"/>
    <w:rsid w:val="001C7B8C"/>
    <w:rsid w:val="001D3A4E"/>
    <w:rsid w:val="001D49B9"/>
    <w:rsid w:val="001D5D79"/>
    <w:rsid w:val="001D71FE"/>
    <w:rsid w:val="001D759A"/>
    <w:rsid w:val="001E0363"/>
    <w:rsid w:val="001E3C9C"/>
    <w:rsid w:val="001F1237"/>
    <w:rsid w:val="001F248C"/>
    <w:rsid w:val="001F6D05"/>
    <w:rsid w:val="001F7977"/>
    <w:rsid w:val="002003A5"/>
    <w:rsid w:val="002048B6"/>
    <w:rsid w:val="002068DC"/>
    <w:rsid w:val="0020771E"/>
    <w:rsid w:val="00216245"/>
    <w:rsid w:val="00216F94"/>
    <w:rsid w:val="00223E91"/>
    <w:rsid w:val="002255D4"/>
    <w:rsid w:val="002261B6"/>
    <w:rsid w:val="002261F1"/>
    <w:rsid w:val="0022652C"/>
    <w:rsid w:val="00231B06"/>
    <w:rsid w:val="0023231C"/>
    <w:rsid w:val="00233276"/>
    <w:rsid w:val="00233D72"/>
    <w:rsid w:val="00234569"/>
    <w:rsid w:val="00240486"/>
    <w:rsid w:val="00240743"/>
    <w:rsid w:val="00246CD1"/>
    <w:rsid w:val="00250062"/>
    <w:rsid w:val="00251E88"/>
    <w:rsid w:val="002520CF"/>
    <w:rsid w:val="00253CEB"/>
    <w:rsid w:val="00254EEE"/>
    <w:rsid w:val="00255AF0"/>
    <w:rsid w:val="00262CBA"/>
    <w:rsid w:val="00266E46"/>
    <w:rsid w:val="00266EE0"/>
    <w:rsid w:val="002672EE"/>
    <w:rsid w:val="00271DDD"/>
    <w:rsid w:val="002736F9"/>
    <w:rsid w:val="00277BFB"/>
    <w:rsid w:val="00280376"/>
    <w:rsid w:val="002818DC"/>
    <w:rsid w:val="002844E2"/>
    <w:rsid w:val="00285204"/>
    <w:rsid w:val="00287CCA"/>
    <w:rsid w:val="002917F8"/>
    <w:rsid w:val="00291FAE"/>
    <w:rsid w:val="002A2266"/>
    <w:rsid w:val="002A338F"/>
    <w:rsid w:val="002A424D"/>
    <w:rsid w:val="002A4361"/>
    <w:rsid w:val="002A6CF8"/>
    <w:rsid w:val="002A7E39"/>
    <w:rsid w:val="002B0720"/>
    <w:rsid w:val="002B24F5"/>
    <w:rsid w:val="002B546B"/>
    <w:rsid w:val="002C1662"/>
    <w:rsid w:val="002C3A6C"/>
    <w:rsid w:val="002C41FF"/>
    <w:rsid w:val="002D03D3"/>
    <w:rsid w:val="002D38AB"/>
    <w:rsid w:val="002D5872"/>
    <w:rsid w:val="002D614B"/>
    <w:rsid w:val="002D61D3"/>
    <w:rsid w:val="002D6C6D"/>
    <w:rsid w:val="002E4A07"/>
    <w:rsid w:val="002E5475"/>
    <w:rsid w:val="002E58E8"/>
    <w:rsid w:val="002E5AFB"/>
    <w:rsid w:val="002F34C7"/>
    <w:rsid w:val="0030330E"/>
    <w:rsid w:val="003039E5"/>
    <w:rsid w:val="003115C3"/>
    <w:rsid w:val="003118F9"/>
    <w:rsid w:val="00311905"/>
    <w:rsid w:val="00311FB4"/>
    <w:rsid w:val="003122C9"/>
    <w:rsid w:val="0031634B"/>
    <w:rsid w:val="00316E6E"/>
    <w:rsid w:val="00322A90"/>
    <w:rsid w:val="003327BA"/>
    <w:rsid w:val="0034079C"/>
    <w:rsid w:val="00340A1B"/>
    <w:rsid w:val="003412FD"/>
    <w:rsid w:val="00343C6D"/>
    <w:rsid w:val="0034524E"/>
    <w:rsid w:val="003516FC"/>
    <w:rsid w:val="003517BD"/>
    <w:rsid w:val="003547AE"/>
    <w:rsid w:val="00354BCA"/>
    <w:rsid w:val="003556CC"/>
    <w:rsid w:val="00356079"/>
    <w:rsid w:val="003620FE"/>
    <w:rsid w:val="00363AC8"/>
    <w:rsid w:val="003673C6"/>
    <w:rsid w:val="00370EEB"/>
    <w:rsid w:val="00382C5E"/>
    <w:rsid w:val="003A4EF9"/>
    <w:rsid w:val="003B102B"/>
    <w:rsid w:val="003B2418"/>
    <w:rsid w:val="003B388B"/>
    <w:rsid w:val="003B4007"/>
    <w:rsid w:val="003B6FD4"/>
    <w:rsid w:val="003C16C5"/>
    <w:rsid w:val="003C3877"/>
    <w:rsid w:val="003C5EB3"/>
    <w:rsid w:val="003C60D9"/>
    <w:rsid w:val="003C7960"/>
    <w:rsid w:val="003D0053"/>
    <w:rsid w:val="003D62A5"/>
    <w:rsid w:val="003E060B"/>
    <w:rsid w:val="003E0745"/>
    <w:rsid w:val="003E13AF"/>
    <w:rsid w:val="003E17CB"/>
    <w:rsid w:val="003E5E7C"/>
    <w:rsid w:val="003F0BF8"/>
    <w:rsid w:val="003F18A0"/>
    <w:rsid w:val="003F2943"/>
    <w:rsid w:val="003F33F1"/>
    <w:rsid w:val="003F5065"/>
    <w:rsid w:val="003F65AA"/>
    <w:rsid w:val="004026DF"/>
    <w:rsid w:val="00403E6F"/>
    <w:rsid w:val="0040414C"/>
    <w:rsid w:val="00406E86"/>
    <w:rsid w:val="00407D8A"/>
    <w:rsid w:val="00412178"/>
    <w:rsid w:val="00415056"/>
    <w:rsid w:val="0041604D"/>
    <w:rsid w:val="00416197"/>
    <w:rsid w:val="00417831"/>
    <w:rsid w:val="00421626"/>
    <w:rsid w:val="00421665"/>
    <w:rsid w:val="004234DB"/>
    <w:rsid w:val="00423DA4"/>
    <w:rsid w:val="0042545B"/>
    <w:rsid w:val="0042632B"/>
    <w:rsid w:val="004316EB"/>
    <w:rsid w:val="00432B73"/>
    <w:rsid w:val="00432E4F"/>
    <w:rsid w:val="00437253"/>
    <w:rsid w:val="00437315"/>
    <w:rsid w:val="00437325"/>
    <w:rsid w:val="00444318"/>
    <w:rsid w:val="0044537A"/>
    <w:rsid w:val="00451F34"/>
    <w:rsid w:val="00452871"/>
    <w:rsid w:val="004536B9"/>
    <w:rsid w:val="00457D87"/>
    <w:rsid w:val="00461A29"/>
    <w:rsid w:val="004623BB"/>
    <w:rsid w:val="00463D6E"/>
    <w:rsid w:val="00464069"/>
    <w:rsid w:val="004644AA"/>
    <w:rsid w:val="00464890"/>
    <w:rsid w:val="00464E90"/>
    <w:rsid w:val="00465864"/>
    <w:rsid w:val="00472AB3"/>
    <w:rsid w:val="00474CC2"/>
    <w:rsid w:val="00474E9A"/>
    <w:rsid w:val="0047532B"/>
    <w:rsid w:val="00481CD1"/>
    <w:rsid w:val="004832C8"/>
    <w:rsid w:val="004846A0"/>
    <w:rsid w:val="00484EBA"/>
    <w:rsid w:val="004873D7"/>
    <w:rsid w:val="0049038A"/>
    <w:rsid w:val="004909B2"/>
    <w:rsid w:val="004933D8"/>
    <w:rsid w:val="0049398B"/>
    <w:rsid w:val="004A2317"/>
    <w:rsid w:val="004A2AE0"/>
    <w:rsid w:val="004A461C"/>
    <w:rsid w:val="004A6A48"/>
    <w:rsid w:val="004B0A6B"/>
    <w:rsid w:val="004B241A"/>
    <w:rsid w:val="004B241B"/>
    <w:rsid w:val="004B381D"/>
    <w:rsid w:val="004B4761"/>
    <w:rsid w:val="004B66D7"/>
    <w:rsid w:val="004C1599"/>
    <w:rsid w:val="004C1FD7"/>
    <w:rsid w:val="004C2B8A"/>
    <w:rsid w:val="004C3CEE"/>
    <w:rsid w:val="004C45A3"/>
    <w:rsid w:val="004D745D"/>
    <w:rsid w:val="004D7B45"/>
    <w:rsid w:val="004E2615"/>
    <w:rsid w:val="004E5644"/>
    <w:rsid w:val="004F134D"/>
    <w:rsid w:val="004F17CE"/>
    <w:rsid w:val="004F1DB4"/>
    <w:rsid w:val="004F27E8"/>
    <w:rsid w:val="00500DBA"/>
    <w:rsid w:val="005022B0"/>
    <w:rsid w:val="0050249D"/>
    <w:rsid w:val="0050387C"/>
    <w:rsid w:val="00503EE3"/>
    <w:rsid w:val="00505D17"/>
    <w:rsid w:val="00507B34"/>
    <w:rsid w:val="00510D06"/>
    <w:rsid w:val="005113A1"/>
    <w:rsid w:val="00515B74"/>
    <w:rsid w:val="0051612E"/>
    <w:rsid w:val="00516A30"/>
    <w:rsid w:val="0052102D"/>
    <w:rsid w:val="00522928"/>
    <w:rsid w:val="00523708"/>
    <w:rsid w:val="005252E2"/>
    <w:rsid w:val="00527233"/>
    <w:rsid w:val="00532B98"/>
    <w:rsid w:val="0053764C"/>
    <w:rsid w:val="00537F3B"/>
    <w:rsid w:val="00541238"/>
    <w:rsid w:val="005412D4"/>
    <w:rsid w:val="00541D77"/>
    <w:rsid w:val="005470EB"/>
    <w:rsid w:val="00551792"/>
    <w:rsid w:val="0055202A"/>
    <w:rsid w:val="005534C8"/>
    <w:rsid w:val="005556D2"/>
    <w:rsid w:val="005609F9"/>
    <w:rsid w:val="005613B6"/>
    <w:rsid w:val="00565851"/>
    <w:rsid w:val="00565D6B"/>
    <w:rsid w:val="00565FC5"/>
    <w:rsid w:val="005663C4"/>
    <w:rsid w:val="00567A88"/>
    <w:rsid w:val="005735EA"/>
    <w:rsid w:val="00581138"/>
    <w:rsid w:val="00582B88"/>
    <w:rsid w:val="00584F38"/>
    <w:rsid w:val="00587AF9"/>
    <w:rsid w:val="005957D8"/>
    <w:rsid w:val="005958D0"/>
    <w:rsid w:val="0059750B"/>
    <w:rsid w:val="005A0EAC"/>
    <w:rsid w:val="005A21B3"/>
    <w:rsid w:val="005B1A21"/>
    <w:rsid w:val="005B6151"/>
    <w:rsid w:val="005C0CA3"/>
    <w:rsid w:val="005C27FA"/>
    <w:rsid w:val="005C3A30"/>
    <w:rsid w:val="005D26EE"/>
    <w:rsid w:val="005D30CD"/>
    <w:rsid w:val="005D62BD"/>
    <w:rsid w:val="005D639B"/>
    <w:rsid w:val="005E059D"/>
    <w:rsid w:val="005E11E2"/>
    <w:rsid w:val="005E260F"/>
    <w:rsid w:val="005E3F07"/>
    <w:rsid w:val="005E5C34"/>
    <w:rsid w:val="005E7B8F"/>
    <w:rsid w:val="005F032B"/>
    <w:rsid w:val="005F506D"/>
    <w:rsid w:val="005F5569"/>
    <w:rsid w:val="005F776D"/>
    <w:rsid w:val="005F7B4F"/>
    <w:rsid w:val="006000C4"/>
    <w:rsid w:val="00601929"/>
    <w:rsid w:val="00607CE8"/>
    <w:rsid w:val="00610460"/>
    <w:rsid w:val="006118AF"/>
    <w:rsid w:val="00611DA5"/>
    <w:rsid w:val="006157AD"/>
    <w:rsid w:val="006204C5"/>
    <w:rsid w:val="0062216B"/>
    <w:rsid w:val="00633C12"/>
    <w:rsid w:val="00634247"/>
    <w:rsid w:val="00635238"/>
    <w:rsid w:val="00635EC0"/>
    <w:rsid w:val="0064174C"/>
    <w:rsid w:val="006437F1"/>
    <w:rsid w:val="006555CA"/>
    <w:rsid w:val="00660332"/>
    <w:rsid w:val="00662530"/>
    <w:rsid w:val="00663557"/>
    <w:rsid w:val="0066669C"/>
    <w:rsid w:val="00667C9B"/>
    <w:rsid w:val="00673FAB"/>
    <w:rsid w:val="00674577"/>
    <w:rsid w:val="00674BBE"/>
    <w:rsid w:val="006807E6"/>
    <w:rsid w:val="00685185"/>
    <w:rsid w:val="006877D0"/>
    <w:rsid w:val="00687A5A"/>
    <w:rsid w:val="00691EF6"/>
    <w:rsid w:val="00695A26"/>
    <w:rsid w:val="00696A66"/>
    <w:rsid w:val="00696DE1"/>
    <w:rsid w:val="006A59A1"/>
    <w:rsid w:val="006A720A"/>
    <w:rsid w:val="006B3592"/>
    <w:rsid w:val="006C0041"/>
    <w:rsid w:val="006C1C3E"/>
    <w:rsid w:val="006C1FD5"/>
    <w:rsid w:val="006C44E7"/>
    <w:rsid w:val="006C58CA"/>
    <w:rsid w:val="006C7881"/>
    <w:rsid w:val="006D0ECF"/>
    <w:rsid w:val="006D7765"/>
    <w:rsid w:val="006E11A8"/>
    <w:rsid w:val="006E411C"/>
    <w:rsid w:val="006E7591"/>
    <w:rsid w:val="006F55FF"/>
    <w:rsid w:val="006F5E1F"/>
    <w:rsid w:val="007007D0"/>
    <w:rsid w:val="0070571C"/>
    <w:rsid w:val="0070662B"/>
    <w:rsid w:val="00714FF5"/>
    <w:rsid w:val="00720949"/>
    <w:rsid w:val="0072182F"/>
    <w:rsid w:val="00721DE8"/>
    <w:rsid w:val="00724850"/>
    <w:rsid w:val="00725148"/>
    <w:rsid w:val="007252EB"/>
    <w:rsid w:val="007312E0"/>
    <w:rsid w:val="00734106"/>
    <w:rsid w:val="0073427B"/>
    <w:rsid w:val="00735AA3"/>
    <w:rsid w:val="0074316F"/>
    <w:rsid w:val="007452AC"/>
    <w:rsid w:val="00745880"/>
    <w:rsid w:val="00747E3C"/>
    <w:rsid w:val="007520BE"/>
    <w:rsid w:val="007532F2"/>
    <w:rsid w:val="00754BBE"/>
    <w:rsid w:val="00754C6A"/>
    <w:rsid w:val="00765865"/>
    <w:rsid w:val="00765BCE"/>
    <w:rsid w:val="0077059D"/>
    <w:rsid w:val="0077242B"/>
    <w:rsid w:val="0077345A"/>
    <w:rsid w:val="007735C8"/>
    <w:rsid w:val="00774720"/>
    <w:rsid w:val="00775A67"/>
    <w:rsid w:val="00777333"/>
    <w:rsid w:val="00777FB3"/>
    <w:rsid w:val="00783F99"/>
    <w:rsid w:val="00790998"/>
    <w:rsid w:val="0079174E"/>
    <w:rsid w:val="00795D69"/>
    <w:rsid w:val="00795F4C"/>
    <w:rsid w:val="007A04E6"/>
    <w:rsid w:val="007A3C2C"/>
    <w:rsid w:val="007A59DE"/>
    <w:rsid w:val="007B66A3"/>
    <w:rsid w:val="007C16A8"/>
    <w:rsid w:val="007C26DA"/>
    <w:rsid w:val="007C5EED"/>
    <w:rsid w:val="007E00BA"/>
    <w:rsid w:val="007E6A70"/>
    <w:rsid w:val="007F2C14"/>
    <w:rsid w:val="007F41D6"/>
    <w:rsid w:val="007F5F5E"/>
    <w:rsid w:val="00802E18"/>
    <w:rsid w:val="00806FEA"/>
    <w:rsid w:val="00807F4E"/>
    <w:rsid w:val="00823F13"/>
    <w:rsid w:val="008245F3"/>
    <w:rsid w:val="00824A5F"/>
    <w:rsid w:val="00825A80"/>
    <w:rsid w:val="008264F3"/>
    <w:rsid w:val="0083220D"/>
    <w:rsid w:val="0083559B"/>
    <w:rsid w:val="00837734"/>
    <w:rsid w:val="0084176F"/>
    <w:rsid w:val="00842978"/>
    <w:rsid w:val="00842F58"/>
    <w:rsid w:val="008450EE"/>
    <w:rsid w:val="00851A8F"/>
    <w:rsid w:val="00853234"/>
    <w:rsid w:val="00854FB7"/>
    <w:rsid w:val="00855808"/>
    <w:rsid w:val="008560E8"/>
    <w:rsid w:val="008576BE"/>
    <w:rsid w:val="00862FAA"/>
    <w:rsid w:val="0086309E"/>
    <w:rsid w:val="00864E55"/>
    <w:rsid w:val="00867DCE"/>
    <w:rsid w:val="00872768"/>
    <w:rsid w:val="00873B92"/>
    <w:rsid w:val="0088264D"/>
    <w:rsid w:val="00883B22"/>
    <w:rsid w:val="00884E5B"/>
    <w:rsid w:val="00886EFB"/>
    <w:rsid w:val="00891D37"/>
    <w:rsid w:val="00894CFC"/>
    <w:rsid w:val="00894E96"/>
    <w:rsid w:val="00895B72"/>
    <w:rsid w:val="008977D4"/>
    <w:rsid w:val="008A082E"/>
    <w:rsid w:val="008A6BD6"/>
    <w:rsid w:val="008B0080"/>
    <w:rsid w:val="008B5347"/>
    <w:rsid w:val="008B7311"/>
    <w:rsid w:val="008C043A"/>
    <w:rsid w:val="008C1E74"/>
    <w:rsid w:val="008C3020"/>
    <w:rsid w:val="008C43FE"/>
    <w:rsid w:val="008C4B6E"/>
    <w:rsid w:val="008C658F"/>
    <w:rsid w:val="008D3F6B"/>
    <w:rsid w:val="008D5D7F"/>
    <w:rsid w:val="008D5F21"/>
    <w:rsid w:val="008E10B3"/>
    <w:rsid w:val="008E5B81"/>
    <w:rsid w:val="008E6D1C"/>
    <w:rsid w:val="008E7734"/>
    <w:rsid w:val="008E7CF2"/>
    <w:rsid w:val="008F02EC"/>
    <w:rsid w:val="008F1260"/>
    <w:rsid w:val="008F5F3D"/>
    <w:rsid w:val="008F792F"/>
    <w:rsid w:val="00900C61"/>
    <w:rsid w:val="009021E0"/>
    <w:rsid w:val="00904C0D"/>
    <w:rsid w:val="00905398"/>
    <w:rsid w:val="0090584A"/>
    <w:rsid w:val="00916B18"/>
    <w:rsid w:val="00924B35"/>
    <w:rsid w:val="0092748A"/>
    <w:rsid w:val="009340A0"/>
    <w:rsid w:val="00937ED3"/>
    <w:rsid w:val="00941C81"/>
    <w:rsid w:val="00942496"/>
    <w:rsid w:val="00945E5F"/>
    <w:rsid w:val="00951B3C"/>
    <w:rsid w:val="009524A6"/>
    <w:rsid w:val="00961442"/>
    <w:rsid w:val="00962BF3"/>
    <w:rsid w:val="00962E39"/>
    <w:rsid w:val="0096719E"/>
    <w:rsid w:val="00970D87"/>
    <w:rsid w:val="00971EAE"/>
    <w:rsid w:val="0097348F"/>
    <w:rsid w:val="00986E9E"/>
    <w:rsid w:val="00987669"/>
    <w:rsid w:val="009911E3"/>
    <w:rsid w:val="009939FA"/>
    <w:rsid w:val="00994D35"/>
    <w:rsid w:val="00996BD4"/>
    <w:rsid w:val="009970DB"/>
    <w:rsid w:val="009A24DE"/>
    <w:rsid w:val="009A4ADC"/>
    <w:rsid w:val="009A54D6"/>
    <w:rsid w:val="009B0AA0"/>
    <w:rsid w:val="009B2E21"/>
    <w:rsid w:val="009B4EA1"/>
    <w:rsid w:val="009B4F57"/>
    <w:rsid w:val="009C1369"/>
    <w:rsid w:val="009C2616"/>
    <w:rsid w:val="009C4B19"/>
    <w:rsid w:val="009C5A04"/>
    <w:rsid w:val="009C5ACF"/>
    <w:rsid w:val="009D2CF0"/>
    <w:rsid w:val="009D2ED0"/>
    <w:rsid w:val="009E3ECA"/>
    <w:rsid w:val="009F1C90"/>
    <w:rsid w:val="009F204B"/>
    <w:rsid w:val="009F695D"/>
    <w:rsid w:val="00A0091D"/>
    <w:rsid w:val="00A015ED"/>
    <w:rsid w:val="00A02E22"/>
    <w:rsid w:val="00A0733F"/>
    <w:rsid w:val="00A10EBF"/>
    <w:rsid w:val="00A148BF"/>
    <w:rsid w:val="00A23CE9"/>
    <w:rsid w:val="00A2644D"/>
    <w:rsid w:val="00A26F90"/>
    <w:rsid w:val="00A3082C"/>
    <w:rsid w:val="00A33300"/>
    <w:rsid w:val="00A4070A"/>
    <w:rsid w:val="00A419C1"/>
    <w:rsid w:val="00A47BCC"/>
    <w:rsid w:val="00A5589F"/>
    <w:rsid w:val="00A571DD"/>
    <w:rsid w:val="00A5741A"/>
    <w:rsid w:val="00A62881"/>
    <w:rsid w:val="00A66725"/>
    <w:rsid w:val="00A706BE"/>
    <w:rsid w:val="00A758D9"/>
    <w:rsid w:val="00A77EAB"/>
    <w:rsid w:val="00A82530"/>
    <w:rsid w:val="00A82F21"/>
    <w:rsid w:val="00A83616"/>
    <w:rsid w:val="00A86DB8"/>
    <w:rsid w:val="00A86E5C"/>
    <w:rsid w:val="00A90D6C"/>
    <w:rsid w:val="00A90F9B"/>
    <w:rsid w:val="00A91817"/>
    <w:rsid w:val="00AA3CD3"/>
    <w:rsid w:val="00AB131E"/>
    <w:rsid w:val="00AB1D69"/>
    <w:rsid w:val="00AB3C64"/>
    <w:rsid w:val="00AB6E77"/>
    <w:rsid w:val="00AB70FC"/>
    <w:rsid w:val="00AC3A4F"/>
    <w:rsid w:val="00AC666C"/>
    <w:rsid w:val="00AC7823"/>
    <w:rsid w:val="00AD115B"/>
    <w:rsid w:val="00AD1596"/>
    <w:rsid w:val="00AD3F8B"/>
    <w:rsid w:val="00AD44E7"/>
    <w:rsid w:val="00AE28AF"/>
    <w:rsid w:val="00AE361F"/>
    <w:rsid w:val="00AE45FD"/>
    <w:rsid w:val="00AE466D"/>
    <w:rsid w:val="00AE5564"/>
    <w:rsid w:val="00AF0586"/>
    <w:rsid w:val="00AF3D7E"/>
    <w:rsid w:val="00AF4F23"/>
    <w:rsid w:val="00AF6C5A"/>
    <w:rsid w:val="00B00560"/>
    <w:rsid w:val="00B02CB4"/>
    <w:rsid w:val="00B02E81"/>
    <w:rsid w:val="00B05B15"/>
    <w:rsid w:val="00B14EEB"/>
    <w:rsid w:val="00B16C20"/>
    <w:rsid w:val="00B17AF4"/>
    <w:rsid w:val="00B21388"/>
    <w:rsid w:val="00B22EBB"/>
    <w:rsid w:val="00B262EA"/>
    <w:rsid w:val="00B271A1"/>
    <w:rsid w:val="00B338EF"/>
    <w:rsid w:val="00B3600A"/>
    <w:rsid w:val="00B36359"/>
    <w:rsid w:val="00B372A8"/>
    <w:rsid w:val="00B4001C"/>
    <w:rsid w:val="00B41795"/>
    <w:rsid w:val="00B42699"/>
    <w:rsid w:val="00B43962"/>
    <w:rsid w:val="00B444D2"/>
    <w:rsid w:val="00B448E4"/>
    <w:rsid w:val="00B46ECA"/>
    <w:rsid w:val="00B474F9"/>
    <w:rsid w:val="00B52316"/>
    <w:rsid w:val="00B54AA2"/>
    <w:rsid w:val="00B551B5"/>
    <w:rsid w:val="00B55C59"/>
    <w:rsid w:val="00B60CED"/>
    <w:rsid w:val="00B66C29"/>
    <w:rsid w:val="00B7408C"/>
    <w:rsid w:val="00B769CB"/>
    <w:rsid w:val="00B93D22"/>
    <w:rsid w:val="00B979B8"/>
    <w:rsid w:val="00B979EB"/>
    <w:rsid w:val="00B97EBB"/>
    <w:rsid w:val="00BA0E3E"/>
    <w:rsid w:val="00BA3579"/>
    <w:rsid w:val="00BA362A"/>
    <w:rsid w:val="00BB2575"/>
    <w:rsid w:val="00BB2E50"/>
    <w:rsid w:val="00BB66EF"/>
    <w:rsid w:val="00BC20C7"/>
    <w:rsid w:val="00BC41B8"/>
    <w:rsid w:val="00BC4820"/>
    <w:rsid w:val="00BC521F"/>
    <w:rsid w:val="00BC7242"/>
    <w:rsid w:val="00BC7C60"/>
    <w:rsid w:val="00BD40EB"/>
    <w:rsid w:val="00BE03E9"/>
    <w:rsid w:val="00BE3294"/>
    <w:rsid w:val="00BE343D"/>
    <w:rsid w:val="00BE3808"/>
    <w:rsid w:val="00BE63F0"/>
    <w:rsid w:val="00BE7257"/>
    <w:rsid w:val="00BF150D"/>
    <w:rsid w:val="00BF2099"/>
    <w:rsid w:val="00BF2850"/>
    <w:rsid w:val="00C01C90"/>
    <w:rsid w:val="00C02A92"/>
    <w:rsid w:val="00C05507"/>
    <w:rsid w:val="00C062D5"/>
    <w:rsid w:val="00C068CF"/>
    <w:rsid w:val="00C10597"/>
    <w:rsid w:val="00C11C09"/>
    <w:rsid w:val="00C139C6"/>
    <w:rsid w:val="00C15B5A"/>
    <w:rsid w:val="00C15D0E"/>
    <w:rsid w:val="00C15D7F"/>
    <w:rsid w:val="00C17A5E"/>
    <w:rsid w:val="00C202E8"/>
    <w:rsid w:val="00C21969"/>
    <w:rsid w:val="00C22295"/>
    <w:rsid w:val="00C2469C"/>
    <w:rsid w:val="00C24726"/>
    <w:rsid w:val="00C30394"/>
    <w:rsid w:val="00C322FE"/>
    <w:rsid w:val="00C32326"/>
    <w:rsid w:val="00C36448"/>
    <w:rsid w:val="00C374FD"/>
    <w:rsid w:val="00C4332D"/>
    <w:rsid w:val="00C44646"/>
    <w:rsid w:val="00C45287"/>
    <w:rsid w:val="00C47020"/>
    <w:rsid w:val="00C4703C"/>
    <w:rsid w:val="00C4784D"/>
    <w:rsid w:val="00C52403"/>
    <w:rsid w:val="00C54328"/>
    <w:rsid w:val="00C548A7"/>
    <w:rsid w:val="00C57D48"/>
    <w:rsid w:val="00C60ED3"/>
    <w:rsid w:val="00C6186E"/>
    <w:rsid w:val="00C62644"/>
    <w:rsid w:val="00C646EE"/>
    <w:rsid w:val="00C64C6A"/>
    <w:rsid w:val="00C64F1B"/>
    <w:rsid w:val="00C74E4E"/>
    <w:rsid w:val="00C81DAB"/>
    <w:rsid w:val="00C83816"/>
    <w:rsid w:val="00C83B29"/>
    <w:rsid w:val="00C84695"/>
    <w:rsid w:val="00C854EF"/>
    <w:rsid w:val="00C97CD5"/>
    <w:rsid w:val="00CA045E"/>
    <w:rsid w:val="00CA50FB"/>
    <w:rsid w:val="00CB1512"/>
    <w:rsid w:val="00CB1CBB"/>
    <w:rsid w:val="00CB2016"/>
    <w:rsid w:val="00CB2F13"/>
    <w:rsid w:val="00CB3C01"/>
    <w:rsid w:val="00CB59B2"/>
    <w:rsid w:val="00CB6A45"/>
    <w:rsid w:val="00CC3D20"/>
    <w:rsid w:val="00CD26AC"/>
    <w:rsid w:val="00CD4BBC"/>
    <w:rsid w:val="00CD6595"/>
    <w:rsid w:val="00CD73E2"/>
    <w:rsid w:val="00CD7E54"/>
    <w:rsid w:val="00CE0E07"/>
    <w:rsid w:val="00CE14FF"/>
    <w:rsid w:val="00CE2EF2"/>
    <w:rsid w:val="00CF111C"/>
    <w:rsid w:val="00CF1D9B"/>
    <w:rsid w:val="00CF3961"/>
    <w:rsid w:val="00CF3E75"/>
    <w:rsid w:val="00CF4C12"/>
    <w:rsid w:val="00CF581F"/>
    <w:rsid w:val="00D04206"/>
    <w:rsid w:val="00D06980"/>
    <w:rsid w:val="00D1311E"/>
    <w:rsid w:val="00D2095A"/>
    <w:rsid w:val="00D22875"/>
    <w:rsid w:val="00D230E9"/>
    <w:rsid w:val="00D24A3B"/>
    <w:rsid w:val="00D2626F"/>
    <w:rsid w:val="00D26A3F"/>
    <w:rsid w:val="00D32368"/>
    <w:rsid w:val="00D3538A"/>
    <w:rsid w:val="00D35ADB"/>
    <w:rsid w:val="00D407F4"/>
    <w:rsid w:val="00D42727"/>
    <w:rsid w:val="00D45221"/>
    <w:rsid w:val="00D474E6"/>
    <w:rsid w:val="00D5006C"/>
    <w:rsid w:val="00D51AE8"/>
    <w:rsid w:val="00D51B5F"/>
    <w:rsid w:val="00D5536A"/>
    <w:rsid w:val="00D610FC"/>
    <w:rsid w:val="00D62B41"/>
    <w:rsid w:val="00D62D1C"/>
    <w:rsid w:val="00D65ED5"/>
    <w:rsid w:val="00D709B9"/>
    <w:rsid w:val="00D71EE7"/>
    <w:rsid w:val="00D7230D"/>
    <w:rsid w:val="00D747D8"/>
    <w:rsid w:val="00D750BA"/>
    <w:rsid w:val="00D7598F"/>
    <w:rsid w:val="00D760CB"/>
    <w:rsid w:val="00D766B5"/>
    <w:rsid w:val="00D76E95"/>
    <w:rsid w:val="00D77D23"/>
    <w:rsid w:val="00D847A7"/>
    <w:rsid w:val="00D874A0"/>
    <w:rsid w:val="00D913B2"/>
    <w:rsid w:val="00D91531"/>
    <w:rsid w:val="00D91BA2"/>
    <w:rsid w:val="00D9494C"/>
    <w:rsid w:val="00D952BC"/>
    <w:rsid w:val="00D95A98"/>
    <w:rsid w:val="00D965CF"/>
    <w:rsid w:val="00D970BC"/>
    <w:rsid w:val="00DA05AF"/>
    <w:rsid w:val="00DB09E3"/>
    <w:rsid w:val="00DB38E3"/>
    <w:rsid w:val="00DB60BD"/>
    <w:rsid w:val="00DB67EA"/>
    <w:rsid w:val="00DB7CE0"/>
    <w:rsid w:val="00DC40C6"/>
    <w:rsid w:val="00DC48AC"/>
    <w:rsid w:val="00DD1F89"/>
    <w:rsid w:val="00DD2F49"/>
    <w:rsid w:val="00DD390C"/>
    <w:rsid w:val="00DD4A83"/>
    <w:rsid w:val="00DD738D"/>
    <w:rsid w:val="00DD7D64"/>
    <w:rsid w:val="00DE0290"/>
    <w:rsid w:val="00DE0FAC"/>
    <w:rsid w:val="00DE396A"/>
    <w:rsid w:val="00DE3FEC"/>
    <w:rsid w:val="00DE4251"/>
    <w:rsid w:val="00DE4597"/>
    <w:rsid w:val="00DE53EF"/>
    <w:rsid w:val="00DE79D6"/>
    <w:rsid w:val="00DE7EB3"/>
    <w:rsid w:val="00DF1F4C"/>
    <w:rsid w:val="00E01891"/>
    <w:rsid w:val="00E02167"/>
    <w:rsid w:val="00E05B73"/>
    <w:rsid w:val="00E064BB"/>
    <w:rsid w:val="00E06612"/>
    <w:rsid w:val="00E07F3C"/>
    <w:rsid w:val="00E12D45"/>
    <w:rsid w:val="00E138AE"/>
    <w:rsid w:val="00E15562"/>
    <w:rsid w:val="00E1590D"/>
    <w:rsid w:val="00E16CEE"/>
    <w:rsid w:val="00E240F3"/>
    <w:rsid w:val="00E27D64"/>
    <w:rsid w:val="00E30104"/>
    <w:rsid w:val="00E35BA2"/>
    <w:rsid w:val="00E40BB6"/>
    <w:rsid w:val="00E44D24"/>
    <w:rsid w:val="00E47A55"/>
    <w:rsid w:val="00E67BEE"/>
    <w:rsid w:val="00E70A52"/>
    <w:rsid w:val="00E71693"/>
    <w:rsid w:val="00E72648"/>
    <w:rsid w:val="00E75426"/>
    <w:rsid w:val="00E8207D"/>
    <w:rsid w:val="00E82403"/>
    <w:rsid w:val="00E83334"/>
    <w:rsid w:val="00E8573A"/>
    <w:rsid w:val="00E87958"/>
    <w:rsid w:val="00E916C3"/>
    <w:rsid w:val="00E91E63"/>
    <w:rsid w:val="00E92B31"/>
    <w:rsid w:val="00E934B0"/>
    <w:rsid w:val="00E93783"/>
    <w:rsid w:val="00E950B6"/>
    <w:rsid w:val="00E97EFD"/>
    <w:rsid w:val="00EA6E0D"/>
    <w:rsid w:val="00EA6E2F"/>
    <w:rsid w:val="00EA7555"/>
    <w:rsid w:val="00EB1DE2"/>
    <w:rsid w:val="00EB2138"/>
    <w:rsid w:val="00EB2D25"/>
    <w:rsid w:val="00EC07F4"/>
    <w:rsid w:val="00EC0CC6"/>
    <w:rsid w:val="00EC126D"/>
    <w:rsid w:val="00EC46DE"/>
    <w:rsid w:val="00EC5ABC"/>
    <w:rsid w:val="00EC7D30"/>
    <w:rsid w:val="00ED09E9"/>
    <w:rsid w:val="00ED2BB8"/>
    <w:rsid w:val="00ED6053"/>
    <w:rsid w:val="00ED65DA"/>
    <w:rsid w:val="00ED680A"/>
    <w:rsid w:val="00EE08B9"/>
    <w:rsid w:val="00EE1161"/>
    <w:rsid w:val="00EE3091"/>
    <w:rsid w:val="00EF29BD"/>
    <w:rsid w:val="00EF3A87"/>
    <w:rsid w:val="00EF6657"/>
    <w:rsid w:val="00F00D6E"/>
    <w:rsid w:val="00F03FBA"/>
    <w:rsid w:val="00F05229"/>
    <w:rsid w:val="00F132BD"/>
    <w:rsid w:val="00F13D70"/>
    <w:rsid w:val="00F15CCE"/>
    <w:rsid w:val="00F166B4"/>
    <w:rsid w:val="00F16AB2"/>
    <w:rsid w:val="00F20243"/>
    <w:rsid w:val="00F22F01"/>
    <w:rsid w:val="00F24441"/>
    <w:rsid w:val="00F35AE1"/>
    <w:rsid w:val="00F36DDB"/>
    <w:rsid w:val="00F40623"/>
    <w:rsid w:val="00F40A5C"/>
    <w:rsid w:val="00F435B4"/>
    <w:rsid w:val="00F440B2"/>
    <w:rsid w:val="00F46D3B"/>
    <w:rsid w:val="00F4722B"/>
    <w:rsid w:val="00F530F9"/>
    <w:rsid w:val="00F54C24"/>
    <w:rsid w:val="00F61C52"/>
    <w:rsid w:val="00F62C3E"/>
    <w:rsid w:val="00F65ACF"/>
    <w:rsid w:val="00F6673C"/>
    <w:rsid w:val="00F7171A"/>
    <w:rsid w:val="00F7489E"/>
    <w:rsid w:val="00F850F4"/>
    <w:rsid w:val="00F9002F"/>
    <w:rsid w:val="00F95646"/>
    <w:rsid w:val="00FA6A1B"/>
    <w:rsid w:val="00FA7A33"/>
    <w:rsid w:val="00FB0B53"/>
    <w:rsid w:val="00FB67E3"/>
    <w:rsid w:val="00FC169C"/>
    <w:rsid w:val="00FC2033"/>
    <w:rsid w:val="00FC4AD3"/>
    <w:rsid w:val="00FC5729"/>
    <w:rsid w:val="00FC76C1"/>
    <w:rsid w:val="00FD0A21"/>
    <w:rsid w:val="00FD371F"/>
    <w:rsid w:val="00FD69D7"/>
    <w:rsid w:val="00FD7475"/>
    <w:rsid w:val="00FE49F1"/>
    <w:rsid w:val="00FE65D1"/>
    <w:rsid w:val="00FF0198"/>
    <w:rsid w:val="00FF01C1"/>
    <w:rsid w:val="00FF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E54459"/>
  <w15:docId w15:val="{9C8D7057-BE88-49DB-9797-DAF3A201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F21"/>
    <w:rPr>
      <w:sz w:val="28"/>
    </w:rPr>
  </w:style>
  <w:style w:type="paragraph" w:styleId="Ttulo1">
    <w:name w:val="heading 1"/>
    <w:next w:val="Normal"/>
    <w:qFormat/>
    <w:rsid w:val="00A82F21"/>
    <w:pPr>
      <w:keepNext/>
      <w:jc w:val="both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uiPriority w:val="9"/>
    <w:qFormat/>
    <w:rsid w:val="00A82F21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A82F21"/>
    <w:pPr>
      <w:keepNext/>
      <w:keepLines/>
      <w:spacing w:before="200"/>
      <w:outlineLvl w:val="2"/>
    </w:pPr>
    <w:rPr>
      <w:b/>
      <w:color w:val="4F81BD"/>
      <w:sz w:val="20"/>
    </w:rPr>
  </w:style>
  <w:style w:type="paragraph" w:styleId="Ttulo4">
    <w:name w:val="heading 4"/>
    <w:next w:val="Normal"/>
    <w:qFormat/>
    <w:rsid w:val="00A82F21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"/>
    <w:qFormat/>
    <w:rsid w:val="00A82F21"/>
    <w:pPr>
      <w:keepNext/>
      <w:keepLines/>
      <w:spacing w:before="200"/>
      <w:outlineLvl w:val="4"/>
    </w:pPr>
    <w:rPr>
      <w:color w:val="243F60"/>
      <w:sz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A82F21"/>
    <w:pPr>
      <w:keepNext/>
      <w:keepLines/>
      <w:spacing w:before="200"/>
      <w:outlineLvl w:val="5"/>
    </w:pPr>
    <w:rPr>
      <w:i/>
      <w:color w:val="243F60"/>
      <w:sz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A82F21"/>
    <w:pPr>
      <w:keepNext/>
      <w:keepLines/>
      <w:spacing w:before="200"/>
      <w:outlineLvl w:val="6"/>
    </w:pPr>
    <w:rPr>
      <w:i/>
      <w:color w:val="404040"/>
      <w:sz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A82F21"/>
    <w:pPr>
      <w:keepNext/>
      <w:keepLines/>
      <w:spacing w:before="200"/>
      <w:outlineLvl w:val="7"/>
    </w:pPr>
    <w:rPr>
      <w:color w:val="404040"/>
      <w:sz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A82F21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har"/>
    <w:uiPriority w:val="99"/>
    <w:rsid w:val="00A82F21"/>
    <w:pPr>
      <w:tabs>
        <w:tab w:val="center" w:pos="4419"/>
        <w:tab w:val="right" w:pos="8838"/>
      </w:tabs>
    </w:pPr>
  </w:style>
  <w:style w:type="paragraph" w:styleId="Rodap">
    <w:name w:val="footer"/>
    <w:link w:val="RodapChar"/>
    <w:uiPriority w:val="99"/>
    <w:rsid w:val="00A82F2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8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link w:val="TextodebaloChar"/>
    <w:rsid w:val="00A82F21"/>
    <w:rPr>
      <w:rFonts w:ascii="Tahoma" w:hAnsi="Tahoma"/>
      <w:sz w:val="16"/>
    </w:rPr>
  </w:style>
  <w:style w:type="character" w:customStyle="1" w:styleId="TextodebaloChar">
    <w:name w:val="Texto de balão Char"/>
    <w:link w:val="Textodebalo"/>
    <w:rsid w:val="00A82F21"/>
    <w:rPr>
      <w:rFonts w:ascii="Tahoma" w:hAnsi="Tahoma"/>
      <w:sz w:val="16"/>
      <w:lang w:bidi="ar-SA"/>
    </w:rPr>
  </w:style>
  <w:style w:type="paragraph" w:styleId="PargrafodaLista">
    <w:name w:val="List Paragraph"/>
    <w:uiPriority w:val="34"/>
    <w:qFormat/>
    <w:rsid w:val="00A82F21"/>
    <w:pPr>
      <w:spacing w:before="120" w:after="120" w:line="360" w:lineRule="auto"/>
      <w:ind w:left="720" w:firstLine="709"/>
      <w:jc w:val="both"/>
    </w:pPr>
    <w:rPr>
      <w:rFonts w:ascii="Calibri" w:eastAsia="Calibri" w:hAnsi="Calibri"/>
      <w:sz w:val="22"/>
      <w:lang w:eastAsia="en-US"/>
    </w:rPr>
  </w:style>
  <w:style w:type="paragraph" w:customStyle="1" w:styleId="Default">
    <w:name w:val="Default"/>
    <w:rsid w:val="00A82F21"/>
    <w:rPr>
      <w:rFonts w:ascii="Arial" w:hAnsi="Arial" w:cs="Arial"/>
      <w:color w:val="000000"/>
      <w:sz w:val="24"/>
    </w:rPr>
  </w:style>
  <w:style w:type="character" w:styleId="Hyperlink">
    <w:name w:val="Hyperlink"/>
    <w:rsid w:val="00A82F21"/>
    <w:rPr>
      <w:color w:val="0563C1"/>
      <w:u w:val="single"/>
    </w:rPr>
  </w:style>
  <w:style w:type="paragraph" w:styleId="NormalWeb">
    <w:name w:val="Normal (Web)"/>
    <w:uiPriority w:val="99"/>
    <w:rsid w:val="00A82F21"/>
    <w:pPr>
      <w:spacing w:before="100" w:after="100"/>
    </w:pPr>
    <w:rPr>
      <w:sz w:val="24"/>
    </w:rPr>
  </w:style>
  <w:style w:type="paragraph" w:styleId="Textodenotaderodap">
    <w:name w:val="footnote text"/>
    <w:link w:val="TextodenotaderodapChar"/>
    <w:uiPriority w:val="99"/>
    <w:rsid w:val="00A82F21"/>
    <w:rPr>
      <w:rFonts w:ascii="Arial" w:hAnsi="Arial"/>
    </w:rPr>
  </w:style>
  <w:style w:type="character" w:customStyle="1" w:styleId="TextodenotaderodapChar">
    <w:name w:val="Texto de nota de rodapé Char"/>
    <w:link w:val="Textodenotaderodap"/>
    <w:uiPriority w:val="99"/>
    <w:rsid w:val="00A82F21"/>
    <w:rPr>
      <w:rFonts w:ascii="Arial" w:hAnsi="Arial"/>
      <w:lang w:val="pt-BR" w:eastAsia="pt-BR" w:bidi="ar-SA"/>
    </w:rPr>
  </w:style>
  <w:style w:type="character" w:styleId="Refdenotaderodap">
    <w:name w:val="footnote reference"/>
    <w:uiPriority w:val="99"/>
    <w:rsid w:val="00A82F21"/>
    <w:rPr>
      <w:vertAlign w:val="superscript"/>
    </w:rPr>
  </w:style>
  <w:style w:type="character" w:styleId="Forte">
    <w:name w:val="Strong"/>
    <w:uiPriority w:val="22"/>
    <w:qFormat/>
    <w:rsid w:val="00A82F21"/>
    <w:rPr>
      <w:b/>
    </w:rPr>
  </w:style>
  <w:style w:type="character" w:styleId="RefernciaIntensa">
    <w:name w:val="Intense Reference"/>
    <w:uiPriority w:val="32"/>
    <w:qFormat/>
    <w:rsid w:val="00A82F21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uiPriority w:val="9"/>
    <w:rsid w:val="00A82F21"/>
    <w:rPr>
      <w:rFonts w:ascii="Times New Roman" w:eastAsia="Times New Roman" w:hAnsi="Times New Roman" w:cs="Times New Roman"/>
      <w:b/>
      <w:i/>
      <w:color w:val="4F81B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82F2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</w:rPr>
  </w:style>
  <w:style w:type="paragraph" w:styleId="Textodenotadefim">
    <w:name w:val="endnote text"/>
    <w:basedOn w:val="Normal"/>
    <w:next w:val="Normal"/>
    <w:link w:val="TextodenotadefimChar"/>
    <w:uiPriority w:val="99"/>
    <w:semiHidden/>
    <w:unhideWhenUsed/>
    <w:rsid w:val="00A82F21"/>
    <w:rPr>
      <w:sz w:val="20"/>
    </w:rPr>
  </w:style>
  <w:style w:type="character" w:styleId="nfase">
    <w:name w:val="Emphasis"/>
    <w:uiPriority w:val="20"/>
    <w:qFormat/>
    <w:rsid w:val="00A82F21"/>
    <w:rPr>
      <w:i/>
    </w:rPr>
  </w:style>
  <w:style w:type="character" w:customStyle="1" w:styleId="FootnoteTextChar">
    <w:name w:val="Footnote Text Char"/>
    <w:uiPriority w:val="99"/>
    <w:semiHidden/>
    <w:rsid w:val="00A82F21"/>
    <w:rPr>
      <w:sz w:val="20"/>
    </w:rPr>
  </w:style>
  <w:style w:type="character" w:styleId="TtulodoLivro">
    <w:name w:val="Book Title"/>
    <w:uiPriority w:val="33"/>
    <w:qFormat/>
    <w:rsid w:val="00A82F21"/>
    <w:rPr>
      <w:b/>
      <w:smallCap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A82F21"/>
    <w:rPr>
      <w:i/>
      <w:color w:val="000000"/>
      <w:sz w:val="20"/>
    </w:rPr>
  </w:style>
  <w:style w:type="character" w:customStyle="1" w:styleId="Ttulo6Char">
    <w:name w:val="Título 6 Char"/>
    <w:link w:val="Ttulo6"/>
    <w:uiPriority w:val="9"/>
    <w:rsid w:val="00A82F21"/>
    <w:rPr>
      <w:rFonts w:ascii="Times New Roman" w:eastAsia="Times New Roman" w:hAnsi="Times New Roman" w:cs="Times New Roman"/>
      <w:i/>
      <w:color w:val="243F60"/>
    </w:rPr>
  </w:style>
  <w:style w:type="paragraph" w:styleId="TextosemFormatao">
    <w:name w:val="Plain Text"/>
    <w:basedOn w:val="Normal"/>
    <w:next w:val="Normal"/>
    <w:link w:val="TextosemFormataoChar"/>
    <w:uiPriority w:val="99"/>
    <w:semiHidden/>
    <w:unhideWhenUsed/>
    <w:rsid w:val="00A82F21"/>
    <w:rPr>
      <w:rFonts w:ascii="Courier New" w:hAnsi="Courier New"/>
      <w:sz w:val="21"/>
    </w:rPr>
  </w:style>
  <w:style w:type="character" w:styleId="RefernciaSutil">
    <w:name w:val="Subtle Reference"/>
    <w:uiPriority w:val="31"/>
    <w:qFormat/>
    <w:rsid w:val="00A82F21"/>
    <w:rPr>
      <w:smallCaps/>
      <w:color w:val="C0504D"/>
      <w:u w:val="single"/>
    </w:rPr>
  </w:style>
  <w:style w:type="character" w:customStyle="1" w:styleId="CitaoIntensaChar">
    <w:name w:val="Citação Intensa Char"/>
    <w:link w:val="CitaoIntensa"/>
    <w:uiPriority w:val="30"/>
    <w:rsid w:val="00A82F21"/>
    <w:rPr>
      <w:b/>
      <w:i/>
      <w:color w:val="4F81BD"/>
    </w:rPr>
  </w:style>
  <w:style w:type="character" w:customStyle="1" w:styleId="Ttulo3Char">
    <w:name w:val="Título 3 Char"/>
    <w:link w:val="Ttulo3"/>
    <w:uiPriority w:val="9"/>
    <w:rsid w:val="00A82F21"/>
    <w:rPr>
      <w:rFonts w:ascii="Times New Roman" w:eastAsia="Times New Roman" w:hAnsi="Times New Roman" w:cs="Times New Roman"/>
      <w:b/>
      <w:color w:val="4F81BD"/>
    </w:rPr>
  </w:style>
  <w:style w:type="character" w:customStyle="1" w:styleId="Ttulo5Char">
    <w:name w:val="Título 5 Char"/>
    <w:link w:val="Ttulo5"/>
    <w:uiPriority w:val="9"/>
    <w:rsid w:val="00A82F21"/>
    <w:rPr>
      <w:rFonts w:ascii="Times New Roman" w:eastAsia="Times New Roman" w:hAnsi="Times New Roman" w:cs="Times New Roman"/>
      <w:color w:val="243F60"/>
    </w:rPr>
  </w:style>
  <w:style w:type="character" w:styleId="nfaseIntensa">
    <w:name w:val="Intense Emphasis"/>
    <w:uiPriority w:val="21"/>
    <w:qFormat/>
    <w:rsid w:val="00A82F21"/>
    <w:rPr>
      <w:b/>
      <w:i/>
      <w:color w:val="4F81BD"/>
    </w:rPr>
  </w:style>
  <w:style w:type="paragraph" w:styleId="SemEspaamento">
    <w:name w:val="No Spacing"/>
    <w:next w:val="Normal"/>
    <w:uiPriority w:val="1"/>
    <w:qFormat/>
    <w:rsid w:val="00A82F21"/>
  </w:style>
  <w:style w:type="paragraph" w:styleId="Subttulo">
    <w:name w:val="Subtitle"/>
    <w:basedOn w:val="Normal"/>
    <w:next w:val="Normal"/>
    <w:link w:val="SubttuloChar"/>
    <w:uiPriority w:val="11"/>
    <w:qFormat/>
    <w:rsid w:val="00A82F21"/>
    <w:rPr>
      <w:i/>
      <w:color w:val="4F81BD"/>
      <w:spacing w:val="15"/>
      <w:sz w:val="24"/>
    </w:rPr>
  </w:style>
  <w:style w:type="character" w:customStyle="1" w:styleId="Ttulo2Char">
    <w:name w:val="Título 2 Char"/>
    <w:link w:val="Ttulo2"/>
    <w:uiPriority w:val="9"/>
    <w:rsid w:val="00A82F21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tuloChar">
    <w:name w:val="Título Char"/>
    <w:link w:val="Ttulo"/>
    <w:uiPriority w:val="10"/>
    <w:rsid w:val="00A82F21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har">
    <w:name w:val="Título 7 Char"/>
    <w:link w:val="Ttulo7"/>
    <w:uiPriority w:val="9"/>
    <w:rsid w:val="00A82F21"/>
    <w:rPr>
      <w:rFonts w:ascii="Times New Roman" w:eastAsia="Times New Roman" w:hAnsi="Times New Roman" w:cs="Times New Roman"/>
      <w:i/>
      <w:color w:val="404040"/>
    </w:rPr>
  </w:style>
  <w:style w:type="character" w:customStyle="1" w:styleId="Ttulo9Char">
    <w:name w:val="Título 9 Char"/>
    <w:link w:val="Ttulo9"/>
    <w:uiPriority w:val="9"/>
    <w:rsid w:val="00A82F21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har">
    <w:name w:val="Título 8 Char"/>
    <w:link w:val="Ttulo8"/>
    <w:uiPriority w:val="9"/>
    <w:rsid w:val="00A82F21"/>
    <w:rPr>
      <w:rFonts w:ascii="Times New Roman" w:eastAsia="Times New Roman" w:hAnsi="Times New Roman" w:cs="Times New Roman"/>
      <w:color w:val="404040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82F21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uiPriority w:val="9"/>
    <w:rsid w:val="00A82F2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emFormataoChar">
    <w:name w:val="Texto sem Formatação Char"/>
    <w:link w:val="TextosemFormatao"/>
    <w:uiPriority w:val="99"/>
    <w:rsid w:val="00A82F21"/>
    <w:rPr>
      <w:rFonts w:ascii="Courier New" w:hAnsi="Courier New" w:cs="Courier New"/>
      <w:sz w:val="21"/>
    </w:rPr>
  </w:style>
  <w:style w:type="character" w:styleId="Refdenotadefim">
    <w:name w:val="endnote reference"/>
    <w:uiPriority w:val="99"/>
    <w:semiHidden/>
    <w:unhideWhenUsed/>
    <w:rsid w:val="00A82F21"/>
    <w:rPr>
      <w:vertAlign w:val="superscript"/>
    </w:rPr>
  </w:style>
  <w:style w:type="character" w:styleId="nfaseSutil">
    <w:name w:val="Subtle Emphasis"/>
    <w:uiPriority w:val="19"/>
    <w:qFormat/>
    <w:rsid w:val="00A82F21"/>
    <w:rPr>
      <w:i/>
      <w:color w:val="808080"/>
    </w:rPr>
  </w:style>
  <w:style w:type="character" w:customStyle="1" w:styleId="SubttuloChar">
    <w:name w:val="Subtítulo Char"/>
    <w:link w:val="Subttulo"/>
    <w:uiPriority w:val="11"/>
    <w:rsid w:val="00A82F2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oChar">
    <w:name w:val="Citação Char"/>
    <w:link w:val="Citao"/>
    <w:uiPriority w:val="29"/>
    <w:rsid w:val="00A82F21"/>
    <w:rPr>
      <w:i/>
      <w:color w:val="000000"/>
    </w:rPr>
  </w:style>
  <w:style w:type="character" w:customStyle="1" w:styleId="TextodenotadefimChar">
    <w:name w:val="Texto de nota de fim Char"/>
    <w:link w:val="Textodenotadefim"/>
    <w:uiPriority w:val="99"/>
    <w:semiHidden/>
    <w:rsid w:val="00A82F21"/>
    <w:rPr>
      <w:sz w:val="20"/>
    </w:rPr>
  </w:style>
  <w:style w:type="character" w:customStyle="1" w:styleId="CabealhoChar">
    <w:name w:val="Cabeçalho Char"/>
    <w:link w:val="Cabealho"/>
    <w:uiPriority w:val="99"/>
    <w:rsid w:val="00565851"/>
    <w:rPr>
      <w:lang w:val="pt-BR" w:eastAsia="pt-BR" w:bidi="ar-SA"/>
    </w:rPr>
  </w:style>
  <w:style w:type="character" w:customStyle="1" w:styleId="RodapChar">
    <w:name w:val="Rodapé Char"/>
    <w:link w:val="Rodap"/>
    <w:uiPriority w:val="99"/>
    <w:rsid w:val="003118F9"/>
    <w:rPr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3E6F"/>
    <w:pPr>
      <w:autoSpaceDE w:val="0"/>
      <w:autoSpaceDN w:val="0"/>
      <w:adjustRightInd w:val="0"/>
    </w:pPr>
    <w:rPr>
      <w:rFonts w:eastAsia="Calibri"/>
      <w:sz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403E6F"/>
    <w:rPr>
      <w:rFonts w:eastAsia="Calibri"/>
      <w:lang w:eastAsia="en-US"/>
    </w:rPr>
  </w:style>
  <w:style w:type="character" w:styleId="Refdecomentrio">
    <w:name w:val="annotation reference"/>
    <w:uiPriority w:val="99"/>
    <w:unhideWhenUsed/>
    <w:rsid w:val="00403E6F"/>
    <w:rPr>
      <w:sz w:val="16"/>
      <w:szCs w:val="16"/>
    </w:rPr>
  </w:style>
  <w:style w:type="paragraph" w:customStyle="1" w:styleId="Texto1">
    <w:name w:val="Texto 1"/>
    <w:basedOn w:val="Normal"/>
    <w:rsid w:val="00851A8F"/>
    <w:pPr>
      <w:spacing w:before="60" w:after="60"/>
      <w:ind w:firstLine="709"/>
      <w:jc w:val="both"/>
    </w:pPr>
    <w:rPr>
      <w:sz w:val="24"/>
    </w:rPr>
  </w:style>
  <w:style w:type="character" w:customStyle="1" w:styleId="label">
    <w:name w:val="label"/>
    <w:basedOn w:val="Fontepargpadro"/>
    <w:rsid w:val="000C4DCB"/>
  </w:style>
  <w:style w:type="paragraph" w:customStyle="1" w:styleId="normal1">
    <w:name w:val="normal1"/>
    <w:basedOn w:val="Normal"/>
    <w:rsid w:val="00432E4F"/>
    <w:pPr>
      <w:spacing w:before="100" w:beforeAutospacing="1" w:after="100" w:afterAutospacing="1"/>
    </w:pPr>
    <w:rPr>
      <w:sz w:val="24"/>
      <w:szCs w:val="24"/>
    </w:rPr>
  </w:style>
  <w:style w:type="character" w:customStyle="1" w:styleId="gmail-apple-style-span">
    <w:name w:val="gmail-apple-style-span"/>
    <w:basedOn w:val="Fontepargpadro"/>
    <w:rsid w:val="00121E31"/>
  </w:style>
  <w:style w:type="paragraph" w:styleId="Sumrio1">
    <w:name w:val="toc 1"/>
    <w:basedOn w:val="Normal"/>
    <w:next w:val="Normal"/>
    <w:autoRedefine/>
    <w:uiPriority w:val="99"/>
    <w:rsid w:val="00285204"/>
    <w:pPr>
      <w:autoSpaceDE w:val="0"/>
      <w:autoSpaceDN w:val="0"/>
      <w:spacing w:before="120" w:after="120"/>
    </w:pPr>
    <w:rPr>
      <w:rFonts w:eastAsiaTheme="minorEastAsia"/>
      <w:b/>
      <w:bCs/>
      <w:caps/>
      <w:sz w:val="24"/>
      <w:szCs w:val="24"/>
    </w:rPr>
  </w:style>
  <w:style w:type="paragraph" w:customStyle="1" w:styleId="TCU-Ac-item9-1Linha">
    <w:name w:val="TCU -  Ac - item 9 - 1ª Linha"/>
    <w:basedOn w:val="Normal"/>
    <w:uiPriority w:val="99"/>
    <w:rsid w:val="00285204"/>
    <w:pPr>
      <w:tabs>
        <w:tab w:val="left" w:pos="1134"/>
      </w:tabs>
      <w:autoSpaceDE w:val="0"/>
      <w:autoSpaceDN w:val="0"/>
      <w:spacing w:after="160"/>
      <w:jc w:val="both"/>
    </w:pPr>
    <w:rPr>
      <w:rFonts w:eastAsiaTheme="minorEastAsia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4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eroi.rj.gov.br/2021/04/16/licitacao-sma-em-andament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88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85A5-6314-469D-B59D-B310131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2364</Words>
  <Characters>14008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PMN</Company>
  <LinksUpToDate>false</LinksUpToDate>
  <CharactersWithSpaces>16340</CharactersWithSpaces>
  <SharedDoc>false</SharedDoc>
  <HLinks>
    <vt:vector size="18" baseType="variant"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393288</vt:i4>
      </vt:variant>
      <vt:variant>
        <vt:i4>0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https://www.zenite.blog.br/tabela-sinapi-obrigatoriedade-de-uso-e-possibilidade-de-flexibilizacao/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Luiza Reis</dc:creator>
  <cp:keywords/>
  <dc:description/>
  <cp:lastModifiedBy>Concyr Formiga Bernardes</cp:lastModifiedBy>
  <cp:revision>6</cp:revision>
  <cp:lastPrinted>2021-06-09T18:23:00Z</cp:lastPrinted>
  <dcterms:created xsi:type="dcterms:W3CDTF">2021-06-09T16:31:00Z</dcterms:created>
  <dcterms:modified xsi:type="dcterms:W3CDTF">2021-06-09T18:26:00Z</dcterms:modified>
</cp:coreProperties>
</file>